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28B11" w14:textId="77777777" w:rsidR="00BD38FC" w:rsidRDefault="00BD38FC" w:rsidP="00BD38FC">
      <w:bookmarkStart w:id="0" w:name="_GoBack"/>
      <w:bookmarkEnd w:id="0"/>
    </w:p>
    <w:p w14:paraId="794DE264" w14:textId="77777777" w:rsidR="006E3B09" w:rsidRDefault="006E3B09" w:rsidP="00BD38FC"/>
    <w:p w14:paraId="3BF300A7" w14:textId="77777777" w:rsidR="006E3B09" w:rsidRDefault="006E3B09" w:rsidP="00BD38FC"/>
    <w:p w14:paraId="3A07C9EA" w14:textId="77777777" w:rsidR="00942DD7" w:rsidRDefault="00942DD7" w:rsidP="00942DD7">
      <w:pPr>
        <w:jc w:val="center"/>
        <w:rPr>
          <w:rFonts w:ascii="Cambria" w:eastAsia="MS Mincho" w:hAnsi="Cambria"/>
          <w:b/>
        </w:rPr>
      </w:pPr>
    </w:p>
    <w:p w14:paraId="207B32B8" w14:textId="7186E7E7" w:rsidR="00942DD7" w:rsidRPr="00942DD7" w:rsidRDefault="00942DD7" w:rsidP="00942DD7">
      <w:pPr>
        <w:jc w:val="center"/>
        <w:rPr>
          <w:rFonts w:asciiTheme="minorHAnsi" w:eastAsia="MS Mincho" w:hAnsiTheme="minorHAnsi" w:cstheme="minorHAnsi"/>
          <w:b/>
        </w:rPr>
      </w:pPr>
      <w:r w:rsidRPr="00942DD7">
        <w:rPr>
          <w:rFonts w:asciiTheme="minorHAnsi" w:eastAsia="MS Mincho" w:hAnsiTheme="minorHAnsi" w:cstheme="minorHAnsi"/>
          <w:b/>
        </w:rPr>
        <w:t xml:space="preserve">Collective Bargaining </w:t>
      </w:r>
      <w:r w:rsidR="00316833">
        <w:rPr>
          <w:rFonts w:asciiTheme="minorHAnsi" w:eastAsia="MS Mincho" w:hAnsiTheme="minorHAnsi" w:cstheme="minorHAnsi"/>
          <w:b/>
        </w:rPr>
        <w:t xml:space="preserve">for </w:t>
      </w:r>
      <w:r w:rsidRPr="00942DD7">
        <w:rPr>
          <w:rFonts w:asciiTheme="minorHAnsi" w:eastAsia="MS Mincho" w:hAnsiTheme="minorHAnsi" w:cstheme="minorHAnsi"/>
          <w:b/>
        </w:rPr>
        <w:t>Graduate Assistants</w:t>
      </w:r>
    </w:p>
    <w:p w14:paraId="746CD6EA" w14:textId="57D9E0EF" w:rsidR="001A066F" w:rsidRPr="00942DD7" w:rsidRDefault="001A066F" w:rsidP="00BD38FC">
      <w:pPr>
        <w:rPr>
          <w:rFonts w:asciiTheme="minorHAnsi" w:hAnsiTheme="minorHAnsi" w:cstheme="minorHAnsi"/>
          <w:b/>
        </w:rPr>
      </w:pPr>
    </w:p>
    <w:p w14:paraId="0431B82B" w14:textId="76B483D3" w:rsidR="00942DD7" w:rsidRDefault="00B55128" w:rsidP="00942DD7">
      <w:pPr>
        <w:rPr>
          <w:rFonts w:asciiTheme="minorHAnsi" w:eastAsia="MS Mincho" w:hAnsiTheme="minorHAnsi" w:cstheme="minorHAnsi"/>
        </w:rPr>
      </w:pPr>
      <w:r>
        <w:rPr>
          <w:rFonts w:asciiTheme="minorHAnsi" w:hAnsiTheme="minorHAnsi" w:cstheme="minorHAnsi"/>
        </w:rPr>
        <w:t>L</w:t>
      </w:r>
      <w:r w:rsidR="00316833">
        <w:rPr>
          <w:rFonts w:asciiTheme="minorHAnsi" w:hAnsiTheme="minorHAnsi" w:cstheme="minorHAnsi"/>
        </w:rPr>
        <w:t xml:space="preserve">egislation </w:t>
      </w:r>
      <w:r w:rsidR="00855854">
        <w:rPr>
          <w:rFonts w:asciiTheme="minorHAnsi" w:hAnsiTheme="minorHAnsi" w:cstheme="minorHAnsi"/>
        </w:rPr>
        <w:t>(H</w:t>
      </w:r>
      <w:r>
        <w:rPr>
          <w:rFonts w:asciiTheme="minorHAnsi" w:hAnsiTheme="minorHAnsi" w:cstheme="minorHAnsi"/>
        </w:rPr>
        <w:t xml:space="preserve">ouse </w:t>
      </w:r>
      <w:r w:rsidR="00855854">
        <w:rPr>
          <w:rFonts w:asciiTheme="minorHAnsi" w:hAnsiTheme="minorHAnsi" w:cstheme="minorHAnsi"/>
        </w:rPr>
        <w:t>B</w:t>
      </w:r>
      <w:r>
        <w:rPr>
          <w:rFonts w:asciiTheme="minorHAnsi" w:hAnsiTheme="minorHAnsi" w:cstheme="minorHAnsi"/>
        </w:rPr>
        <w:t xml:space="preserve">ill </w:t>
      </w:r>
      <w:r w:rsidR="00855854">
        <w:rPr>
          <w:rFonts w:asciiTheme="minorHAnsi" w:hAnsiTheme="minorHAnsi" w:cstheme="minorHAnsi"/>
        </w:rPr>
        <w:t xml:space="preserve">214) </w:t>
      </w:r>
      <w:r w:rsidR="00316833">
        <w:rPr>
          <w:rFonts w:asciiTheme="minorHAnsi" w:hAnsiTheme="minorHAnsi" w:cstheme="minorHAnsi"/>
        </w:rPr>
        <w:t xml:space="preserve">has been introduced in the Maryland General Assembly that would give </w:t>
      </w:r>
      <w:r w:rsidR="00942DD7" w:rsidRPr="00942DD7">
        <w:rPr>
          <w:rFonts w:asciiTheme="minorHAnsi" w:eastAsia="MS Mincho" w:hAnsiTheme="minorHAnsi" w:cstheme="minorHAnsi"/>
        </w:rPr>
        <w:t xml:space="preserve">graduate assistants </w:t>
      </w:r>
      <w:r w:rsidR="00465BAA">
        <w:rPr>
          <w:rFonts w:asciiTheme="minorHAnsi" w:eastAsia="MS Mincho" w:hAnsiTheme="minorHAnsi" w:cstheme="minorHAnsi"/>
        </w:rPr>
        <w:t xml:space="preserve">(GAs) </w:t>
      </w:r>
      <w:r w:rsidR="00316833">
        <w:rPr>
          <w:rFonts w:asciiTheme="minorHAnsi" w:eastAsia="MS Mincho" w:hAnsiTheme="minorHAnsi" w:cstheme="minorHAnsi"/>
        </w:rPr>
        <w:t xml:space="preserve">the right </w:t>
      </w:r>
      <w:r w:rsidR="007F02F1">
        <w:rPr>
          <w:rFonts w:asciiTheme="minorHAnsi" w:eastAsia="MS Mincho" w:hAnsiTheme="minorHAnsi" w:cstheme="minorHAnsi"/>
        </w:rPr>
        <w:t>t</w:t>
      </w:r>
      <w:r w:rsidR="00942DD7" w:rsidRPr="00942DD7">
        <w:rPr>
          <w:rFonts w:asciiTheme="minorHAnsi" w:eastAsia="MS Mincho" w:hAnsiTheme="minorHAnsi" w:cstheme="minorHAnsi"/>
        </w:rPr>
        <w:t>o collectively bargain.</w:t>
      </w:r>
      <w:r w:rsidR="00316833">
        <w:rPr>
          <w:rFonts w:asciiTheme="minorHAnsi" w:eastAsia="MS Mincho" w:hAnsiTheme="minorHAnsi" w:cstheme="minorHAnsi"/>
        </w:rPr>
        <w:t xml:space="preserve">  If the bill passes, GAs at all public Maryland universities would have the right to unionize</w:t>
      </w:r>
      <w:r w:rsidR="00B3316B">
        <w:rPr>
          <w:rFonts w:asciiTheme="minorHAnsi" w:eastAsia="MS Mincho" w:hAnsiTheme="minorHAnsi" w:cstheme="minorHAnsi"/>
        </w:rPr>
        <w:t>. A</w:t>
      </w:r>
      <w:r w:rsidR="00316833">
        <w:rPr>
          <w:rFonts w:asciiTheme="minorHAnsi" w:eastAsia="MS Mincho" w:hAnsiTheme="minorHAnsi" w:cstheme="minorHAnsi"/>
        </w:rPr>
        <w:t xml:space="preserve"> separate vote </w:t>
      </w:r>
      <w:r w:rsidR="008D30DA">
        <w:rPr>
          <w:rFonts w:asciiTheme="minorHAnsi" w:eastAsia="MS Mincho" w:hAnsiTheme="minorHAnsi" w:cstheme="minorHAnsi"/>
        </w:rPr>
        <w:t xml:space="preserve">by the graduate students </w:t>
      </w:r>
      <w:r w:rsidR="00405638">
        <w:rPr>
          <w:rFonts w:asciiTheme="minorHAnsi" w:eastAsia="MS Mincho" w:hAnsiTheme="minorHAnsi" w:cstheme="minorHAnsi"/>
        </w:rPr>
        <w:t xml:space="preserve">on each campus </w:t>
      </w:r>
      <w:r w:rsidR="00316833">
        <w:rPr>
          <w:rFonts w:asciiTheme="minorHAnsi" w:eastAsia="MS Mincho" w:hAnsiTheme="minorHAnsi" w:cstheme="minorHAnsi"/>
        </w:rPr>
        <w:t>would have to take place to unionize GAs on that campus.</w:t>
      </w:r>
    </w:p>
    <w:p w14:paraId="5F2D741F" w14:textId="6DCCA891" w:rsidR="00316833" w:rsidRDefault="00316833" w:rsidP="00942DD7">
      <w:pPr>
        <w:rPr>
          <w:rFonts w:asciiTheme="minorHAnsi" w:eastAsia="MS Mincho" w:hAnsiTheme="minorHAnsi" w:cstheme="minorHAnsi"/>
        </w:rPr>
      </w:pPr>
    </w:p>
    <w:p w14:paraId="5F6BC4AD" w14:textId="4C6E0A03" w:rsidR="00316833" w:rsidRPr="00316833" w:rsidRDefault="00316833" w:rsidP="00942DD7">
      <w:pPr>
        <w:rPr>
          <w:rFonts w:asciiTheme="minorHAnsi" w:eastAsia="MS Mincho" w:hAnsiTheme="minorHAnsi" w:cstheme="minorHAnsi"/>
          <w:b/>
          <w:bCs/>
        </w:rPr>
      </w:pPr>
      <w:r w:rsidRPr="00316833">
        <w:rPr>
          <w:rFonts w:asciiTheme="minorHAnsi" w:eastAsia="MS Mincho" w:hAnsiTheme="minorHAnsi" w:cstheme="minorHAnsi"/>
          <w:b/>
          <w:bCs/>
        </w:rPr>
        <w:t xml:space="preserve">Why does the university oppose collective bargaining for GAs?  </w:t>
      </w:r>
    </w:p>
    <w:p w14:paraId="685D0756" w14:textId="3482EFD4" w:rsidR="00942DD7" w:rsidRDefault="00942DD7" w:rsidP="00942DD7">
      <w:pPr>
        <w:rPr>
          <w:rFonts w:asciiTheme="minorHAnsi" w:eastAsia="MS Mincho" w:hAnsiTheme="minorHAnsi" w:cstheme="minorHAnsi"/>
        </w:rPr>
      </w:pPr>
    </w:p>
    <w:p w14:paraId="395E4EF0" w14:textId="444ECA91" w:rsidR="00942DD7" w:rsidRPr="006C6988" w:rsidRDefault="00316833" w:rsidP="00942DD7">
      <w:pPr>
        <w:rPr>
          <w:rFonts w:asciiTheme="minorHAnsi" w:hAnsiTheme="minorHAnsi"/>
        </w:rPr>
      </w:pPr>
      <w:r>
        <w:rPr>
          <w:rFonts w:asciiTheme="minorHAnsi" w:eastAsia="MS Mincho" w:hAnsiTheme="minorHAnsi" w:cstheme="minorHAnsi"/>
        </w:rPr>
        <w:t xml:space="preserve">The university opposes collective bargaining because </w:t>
      </w:r>
      <w:r w:rsidR="00465BAA">
        <w:rPr>
          <w:rFonts w:asciiTheme="minorHAnsi" w:eastAsia="MS Mincho" w:hAnsiTheme="minorHAnsi" w:cstheme="minorHAnsi"/>
        </w:rPr>
        <w:t xml:space="preserve">GAs </w:t>
      </w:r>
      <w:r>
        <w:rPr>
          <w:rFonts w:asciiTheme="minorHAnsi" w:eastAsia="MS Mincho" w:hAnsiTheme="minorHAnsi" w:cstheme="minorHAnsi"/>
        </w:rPr>
        <w:t>are students</w:t>
      </w:r>
      <w:r w:rsidR="006811FD">
        <w:rPr>
          <w:rFonts w:asciiTheme="minorHAnsi" w:eastAsia="MS Mincho" w:hAnsiTheme="minorHAnsi" w:cstheme="minorHAnsi"/>
        </w:rPr>
        <w:t>,</w:t>
      </w:r>
      <w:r>
        <w:rPr>
          <w:rFonts w:asciiTheme="minorHAnsi" w:eastAsia="MS Mincho" w:hAnsiTheme="minorHAnsi" w:cstheme="minorHAnsi"/>
        </w:rPr>
        <w:t xml:space="preserve"> and the duties they perform </w:t>
      </w:r>
      <w:r w:rsidR="00465BAA">
        <w:rPr>
          <w:rFonts w:asciiTheme="minorHAnsi" w:eastAsia="MS Mincho" w:hAnsiTheme="minorHAnsi" w:cstheme="minorHAnsi"/>
        </w:rPr>
        <w:t xml:space="preserve">as GAs </w:t>
      </w:r>
      <w:r>
        <w:rPr>
          <w:rFonts w:asciiTheme="minorHAnsi" w:eastAsia="MS Mincho" w:hAnsiTheme="minorHAnsi" w:cstheme="minorHAnsi"/>
        </w:rPr>
        <w:t xml:space="preserve">are part of their </w:t>
      </w:r>
      <w:r w:rsidR="008F1733">
        <w:rPr>
          <w:rFonts w:asciiTheme="minorHAnsi" w:eastAsia="MS Mincho" w:hAnsiTheme="minorHAnsi" w:cstheme="minorHAnsi"/>
        </w:rPr>
        <w:t xml:space="preserve">graduate </w:t>
      </w:r>
      <w:r>
        <w:rPr>
          <w:rFonts w:asciiTheme="minorHAnsi" w:eastAsia="MS Mincho" w:hAnsiTheme="minorHAnsi" w:cstheme="minorHAnsi"/>
        </w:rPr>
        <w:t>education</w:t>
      </w:r>
      <w:r w:rsidR="00405638" w:rsidRPr="006C6988">
        <w:rPr>
          <w:rFonts w:asciiTheme="minorHAnsi" w:hAnsiTheme="minorHAnsi"/>
        </w:rPr>
        <w:t>, with the additional benefit of providing financial assistance. </w:t>
      </w:r>
      <w:r>
        <w:rPr>
          <w:rFonts w:asciiTheme="minorHAnsi" w:eastAsia="MS Mincho" w:hAnsiTheme="minorHAnsi" w:cstheme="minorHAnsi"/>
        </w:rPr>
        <w:t>S</w:t>
      </w:r>
      <w:r w:rsidR="005D73A6">
        <w:rPr>
          <w:rFonts w:asciiTheme="minorHAnsi" w:eastAsia="MS Mincho" w:hAnsiTheme="minorHAnsi" w:cstheme="minorHAnsi"/>
        </w:rPr>
        <w:t xml:space="preserve">ome </w:t>
      </w:r>
      <w:r>
        <w:rPr>
          <w:rFonts w:asciiTheme="minorHAnsi" w:eastAsia="MS Mincho" w:hAnsiTheme="minorHAnsi" w:cstheme="minorHAnsi"/>
        </w:rPr>
        <w:t xml:space="preserve">graduate </w:t>
      </w:r>
      <w:r w:rsidR="005D73A6">
        <w:rPr>
          <w:rFonts w:asciiTheme="minorHAnsi" w:eastAsia="MS Mincho" w:hAnsiTheme="minorHAnsi" w:cstheme="minorHAnsi"/>
        </w:rPr>
        <w:t xml:space="preserve">programs </w:t>
      </w:r>
      <w:r>
        <w:rPr>
          <w:rFonts w:asciiTheme="minorHAnsi" w:eastAsia="MS Mincho" w:hAnsiTheme="minorHAnsi" w:cstheme="minorHAnsi"/>
        </w:rPr>
        <w:t xml:space="preserve">expect or </w:t>
      </w:r>
      <w:r w:rsidR="005D73A6">
        <w:rPr>
          <w:rFonts w:asciiTheme="minorHAnsi" w:eastAsia="MS Mincho" w:hAnsiTheme="minorHAnsi" w:cstheme="minorHAnsi"/>
        </w:rPr>
        <w:t xml:space="preserve">require </w:t>
      </w:r>
      <w:r>
        <w:rPr>
          <w:rFonts w:asciiTheme="minorHAnsi" w:eastAsia="MS Mincho" w:hAnsiTheme="minorHAnsi" w:cstheme="minorHAnsi"/>
        </w:rPr>
        <w:t xml:space="preserve">all </w:t>
      </w:r>
      <w:r w:rsidR="005D73A6">
        <w:rPr>
          <w:rFonts w:asciiTheme="minorHAnsi" w:eastAsia="MS Mincho" w:hAnsiTheme="minorHAnsi" w:cstheme="minorHAnsi"/>
        </w:rPr>
        <w:t xml:space="preserve">students to </w:t>
      </w:r>
      <w:r w:rsidR="00B55128">
        <w:rPr>
          <w:rFonts w:asciiTheme="minorHAnsi" w:eastAsia="MS Mincho" w:hAnsiTheme="minorHAnsi" w:cstheme="minorHAnsi"/>
        </w:rPr>
        <w:t>teach</w:t>
      </w:r>
      <w:r w:rsidR="0065342F">
        <w:rPr>
          <w:rFonts w:asciiTheme="minorHAnsi" w:eastAsia="MS Mincho" w:hAnsiTheme="minorHAnsi" w:cstheme="minorHAnsi"/>
        </w:rPr>
        <w:t xml:space="preserve"> as an integral part of their program</w:t>
      </w:r>
      <w:r w:rsidR="00942DD7" w:rsidRPr="00942DD7">
        <w:rPr>
          <w:rFonts w:asciiTheme="minorHAnsi" w:eastAsia="MS Mincho" w:hAnsiTheme="minorHAnsi" w:cstheme="minorHAnsi"/>
        </w:rPr>
        <w:t xml:space="preserve">. </w:t>
      </w:r>
      <w:r w:rsidR="002B0D40">
        <w:rPr>
          <w:rFonts w:asciiTheme="minorHAnsi" w:eastAsia="MS Mincho" w:hAnsiTheme="minorHAnsi" w:cstheme="minorHAnsi"/>
        </w:rPr>
        <w:t>Most t</w:t>
      </w:r>
      <w:r w:rsidR="00465BAA">
        <w:rPr>
          <w:rFonts w:asciiTheme="minorHAnsi" w:eastAsia="MS Mincho" w:hAnsiTheme="minorHAnsi" w:cstheme="minorHAnsi"/>
        </w:rPr>
        <w:t xml:space="preserve">eaching assistants </w:t>
      </w:r>
      <w:r w:rsidR="008F1733">
        <w:rPr>
          <w:rFonts w:asciiTheme="minorHAnsi" w:eastAsia="MS Mincho" w:hAnsiTheme="minorHAnsi" w:cstheme="minorHAnsi"/>
        </w:rPr>
        <w:t xml:space="preserve">lead </w:t>
      </w:r>
      <w:r w:rsidR="008F1733" w:rsidRPr="00942DD7">
        <w:rPr>
          <w:rFonts w:asciiTheme="minorHAnsi" w:eastAsia="MS Mincho" w:hAnsiTheme="minorHAnsi" w:cstheme="minorHAnsi"/>
        </w:rPr>
        <w:t xml:space="preserve">discussion </w:t>
      </w:r>
      <w:r w:rsidR="008F1733">
        <w:rPr>
          <w:rFonts w:asciiTheme="minorHAnsi" w:eastAsia="MS Mincho" w:hAnsiTheme="minorHAnsi" w:cstheme="minorHAnsi"/>
        </w:rPr>
        <w:t xml:space="preserve">or lab </w:t>
      </w:r>
      <w:r w:rsidR="008F1733" w:rsidRPr="00942DD7">
        <w:rPr>
          <w:rFonts w:asciiTheme="minorHAnsi" w:eastAsia="MS Mincho" w:hAnsiTheme="minorHAnsi" w:cstheme="minorHAnsi"/>
        </w:rPr>
        <w:t xml:space="preserve">sections under the guidance of </w:t>
      </w:r>
      <w:r w:rsidR="008F1733">
        <w:rPr>
          <w:rFonts w:asciiTheme="minorHAnsi" w:eastAsia="MS Mincho" w:hAnsiTheme="minorHAnsi" w:cstheme="minorHAnsi"/>
        </w:rPr>
        <w:t>a</w:t>
      </w:r>
      <w:r w:rsidR="008F1733" w:rsidRPr="00942DD7">
        <w:rPr>
          <w:rFonts w:asciiTheme="minorHAnsi" w:eastAsia="MS Mincho" w:hAnsiTheme="minorHAnsi" w:cstheme="minorHAnsi"/>
        </w:rPr>
        <w:t xml:space="preserve"> faculty member</w:t>
      </w:r>
      <w:r w:rsidR="00846C19">
        <w:rPr>
          <w:rFonts w:asciiTheme="minorHAnsi" w:eastAsia="MS Mincho" w:hAnsiTheme="minorHAnsi" w:cstheme="minorHAnsi"/>
        </w:rPr>
        <w:t>,</w:t>
      </w:r>
      <w:r w:rsidR="008F1733">
        <w:rPr>
          <w:rFonts w:asciiTheme="minorHAnsi" w:eastAsia="MS Mincho" w:hAnsiTheme="minorHAnsi" w:cstheme="minorHAnsi"/>
        </w:rPr>
        <w:t xml:space="preserve"> </w:t>
      </w:r>
      <w:r w:rsidR="00465BAA">
        <w:rPr>
          <w:rFonts w:asciiTheme="minorHAnsi" w:eastAsia="MS Mincho" w:hAnsiTheme="minorHAnsi" w:cstheme="minorHAnsi"/>
        </w:rPr>
        <w:t>gain</w:t>
      </w:r>
      <w:r w:rsidR="00846C19">
        <w:rPr>
          <w:rFonts w:asciiTheme="minorHAnsi" w:eastAsia="MS Mincho" w:hAnsiTheme="minorHAnsi" w:cstheme="minorHAnsi"/>
        </w:rPr>
        <w:t>ing</w:t>
      </w:r>
      <w:r w:rsidR="00465BAA">
        <w:rPr>
          <w:rFonts w:asciiTheme="minorHAnsi" w:eastAsia="MS Mincho" w:hAnsiTheme="minorHAnsi" w:cstheme="minorHAnsi"/>
        </w:rPr>
        <w:t xml:space="preserve"> valuable </w:t>
      </w:r>
      <w:r w:rsidR="002B0D40">
        <w:rPr>
          <w:rFonts w:asciiTheme="minorHAnsi" w:eastAsia="MS Mincho" w:hAnsiTheme="minorHAnsi" w:cstheme="minorHAnsi"/>
        </w:rPr>
        <w:t xml:space="preserve">teaching </w:t>
      </w:r>
      <w:r w:rsidR="00465BAA">
        <w:rPr>
          <w:rFonts w:asciiTheme="minorHAnsi" w:eastAsia="MS Mincho" w:hAnsiTheme="minorHAnsi" w:cstheme="minorHAnsi"/>
        </w:rPr>
        <w:t xml:space="preserve">experience and </w:t>
      </w:r>
      <w:r w:rsidR="008F1733" w:rsidRPr="00942DD7">
        <w:rPr>
          <w:rFonts w:asciiTheme="minorHAnsi" w:eastAsia="MS Mincho" w:hAnsiTheme="minorHAnsi" w:cstheme="minorHAnsi"/>
        </w:rPr>
        <w:t>learn</w:t>
      </w:r>
      <w:r w:rsidR="00846C19">
        <w:rPr>
          <w:rFonts w:asciiTheme="minorHAnsi" w:eastAsia="MS Mincho" w:hAnsiTheme="minorHAnsi" w:cstheme="minorHAnsi"/>
        </w:rPr>
        <w:t>ing</w:t>
      </w:r>
      <w:r w:rsidR="008F1733" w:rsidRPr="00942DD7">
        <w:rPr>
          <w:rFonts w:asciiTheme="minorHAnsi" w:eastAsia="MS Mincho" w:hAnsiTheme="minorHAnsi" w:cstheme="minorHAnsi"/>
        </w:rPr>
        <w:t xml:space="preserve"> the subject more deeply</w:t>
      </w:r>
      <w:r w:rsidR="008F1733">
        <w:rPr>
          <w:rFonts w:asciiTheme="minorHAnsi" w:eastAsia="MS Mincho" w:hAnsiTheme="minorHAnsi" w:cstheme="minorHAnsi"/>
        </w:rPr>
        <w:t xml:space="preserve"> by learning </w:t>
      </w:r>
      <w:r w:rsidR="008F1733" w:rsidRPr="00942DD7">
        <w:rPr>
          <w:rFonts w:asciiTheme="minorHAnsi" w:eastAsia="MS Mincho" w:hAnsiTheme="minorHAnsi" w:cstheme="minorHAnsi"/>
        </w:rPr>
        <w:t xml:space="preserve">to explain it to others. </w:t>
      </w:r>
      <w:r w:rsidR="00B55128">
        <w:rPr>
          <w:rFonts w:asciiTheme="minorHAnsi" w:eastAsia="MS Mincho" w:hAnsiTheme="minorHAnsi" w:cstheme="minorHAnsi"/>
        </w:rPr>
        <w:t>R</w:t>
      </w:r>
      <w:r w:rsidR="00942DD7" w:rsidRPr="00942DD7">
        <w:rPr>
          <w:rFonts w:asciiTheme="minorHAnsi" w:eastAsia="MS Mincho" w:hAnsiTheme="minorHAnsi" w:cstheme="minorHAnsi"/>
        </w:rPr>
        <w:t>esearch assistants</w:t>
      </w:r>
      <w:r w:rsidR="008F1733">
        <w:rPr>
          <w:rFonts w:asciiTheme="minorHAnsi" w:eastAsia="MS Mincho" w:hAnsiTheme="minorHAnsi" w:cstheme="minorHAnsi"/>
        </w:rPr>
        <w:t>hips</w:t>
      </w:r>
      <w:r>
        <w:rPr>
          <w:rFonts w:asciiTheme="minorHAnsi" w:eastAsia="MS Mincho" w:hAnsiTheme="minorHAnsi" w:cstheme="minorHAnsi"/>
        </w:rPr>
        <w:t xml:space="preserve"> allow </w:t>
      </w:r>
      <w:r w:rsidR="008F1733">
        <w:rPr>
          <w:rFonts w:asciiTheme="minorHAnsi" w:eastAsia="MS Mincho" w:hAnsiTheme="minorHAnsi" w:cstheme="minorHAnsi"/>
        </w:rPr>
        <w:t xml:space="preserve">students </w:t>
      </w:r>
      <w:r>
        <w:rPr>
          <w:rFonts w:asciiTheme="minorHAnsi" w:eastAsia="MS Mincho" w:hAnsiTheme="minorHAnsi" w:cstheme="minorHAnsi"/>
        </w:rPr>
        <w:t xml:space="preserve">to </w:t>
      </w:r>
      <w:r w:rsidR="008F1733">
        <w:rPr>
          <w:rFonts w:asciiTheme="minorHAnsi" w:eastAsia="MS Mincho" w:hAnsiTheme="minorHAnsi" w:cstheme="minorHAnsi"/>
        </w:rPr>
        <w:t xml:space="preserve">learn to </w:t>
      </w:r>
      <w:r>
        <w:rPr>
          <w:rFonts w:asciiTheme="minorHAnsi" w:eastAsia="MS Mincho" w:hAnsiTheme="minorHAnsi" w:cstheme="minorHAnsi"/>
        </w:rPr>
        <w:t xml:space="preserve">do </w:t>
      </w:r>
      <w:r w:rsidR="00942DD7" w:rsidRPr="00942DD7">
        <w:rPr>
          <w:rFonts w:asciiTheme="minorHAnsi" w:eastAsia="MS Mincho" w:hAnsiTheme="minorHAnsi" w:cstheme="minorHAnsi"/>
        </w:rPr>
        <w:t>original research under the guidance of a faculty mentor</w:t>
      </w:r>
      <w:r>
        <w:rPr>
          <w:rFonts w:asciiTheme="minorHAnsi" w:eastAsia="MS Mincho" w:hAnsiTheme="minorHAnsi" w:cstheme="minorHAnsi"/>
        </w:rPr>
        <w:t>—research that often is identical to their</w:t>
      </w:r>
      <w:r w:rsidR="008F1733">
        <w:rPr>
          <w:rFonts w:asciiTheme="minorHAnsi" w:eastAsia="MS Mincho" w:hAnsiTheme="minorHAnsi" w:cstheme="minorHAnsi"/>
        </w:rPr>
        <w:t xml:space="preserve"> doctoral</w:t>
      </w:r>
      <w:r>
        <w:rPr>
          <w:rFonts w:asciiTheme="minorHAnsi" w:eastAsia="MS Mincho" w:hAnsiTheme="minorHAnsi" w:cstheme="minorHAnsi"/>
        </w:rPr>
        <w:t xml:space="preserve"> dissertation</w:t>
      </w:r>
      <w:r w:rsidR="00B55128">
        <w:rPr>
          <w:rFonts w:asciiTheme="minorHAnsi" w:eastAsia="MS Mincho" w:hAnsiTheme="minorHAnsi" w:cstheme="minorHAnsi"/>
        </w:rPr>
        <w:t xml:space="preserve"> research</w:t>
      </w:r>
      <w:r w:rsidR="00942DD7" w:rsidRPr="00942DD7">
        <w:rPr>
          <w:rFonts w:asciiTheme="minorHAnsi" w:eastAsia="MS Mincho" w:hAnsiTheme="minorHAnsi" w:cstheme="minorHAnsi"/>
        </w:rPr>
        <w:t xml:space="preserve">. </w:t>
      </w:r>
      <w:r w:rsidR="00A71E77">
        <w:rPr>
          <w:rFonts w:asciiTheme="minorHAnsi" w:eastAsia="MS Mincho" w:hAnsiTheme="minorHAnsi" w:cstheme="minorHAnsi"/>
        </w:rPr>
        <w:t xml:space="preserve">In both </w:t>
      </w:r>
      <w:r w:rsidR="00405638">
        <w:rPr>
          <w:rFonts w:asciiTheme="minorHAnsi" w:eastAsia="MS Mincho" w:hAnsiTheme="minorHAnsi" w:cstheme="minorHAnsi"/>
        </w:rPr>
        <w:t xml:space="preserve">teaching and research </w:t>
      </w:r>
      <w:r w:rsidR="00A71E77">
        <w:rPr>
          <w:rFonts w:asciiTheme="minorHAnsi" w:eastAsia="MS Mincho" w:hAnsiTheme="minorHAnsi" w:cstheme="minorHAnsi"/>
        </w:rPr>
        <w:t xml:space="preserve">cases, the assistantship is </w:t>
      </w:r>
      <w:r w:rsidR="008F1733">
        <w:rPr>
          <w:rFonts w:asciiTheme="minorHAnsi" w:eastAsia="MS Mincho" w:hAnsiTheme="minorHAnsi" w:cstheme="minorHAnsi"/>
        </w:rPr>
        <w:t xml:space="preserve">more like </w:t>
      </w:r>
      <w:r w:rsidR="00A71E77">
        <w:rPr>
          <w:rFonts w:asciiTheme="minorHAnsi" w:eastAsia="MS Mincho" w:hAnsiTheme="minorHAnsi" w:cstheme="minorHAnsi"/>
        </w:rPr>
        <w:t>an apprenticeship or</w:t>
      </w:r>
      <w:r w:rsidR="00846C19">
        <w:rPr>
          <w:rFonts w:asciiTheme="minorHAnsi" w:eastAsia="MS Mincho" w:hAnsiTheme="minorHAnsi" w:cstheme="minorHAnsi"/>
        </w:rPr>
        <w:t xml:space="preserve"> a</w:t>
      </w:r>
      <w:r w:rsidR="00A71E77">
        <w:rPr>
          <w:rFonts w:asciiTheme="minorHAnsi" w:eastAsia="MS Mincho" w:hAnsiTheme="minorHAnsi" w:cstheme="minorHAnsi"/>
        </w:rPr>
        <w:t xml:space="preserve"> traineeship than traditional employment. </w:t>
      </w:r>
    </w:p>
    <w:p w14:paraId="7839C209" w14:textId="2B741D22" w:rsidR="00942DD7" w:rsidRDefault="00942DD7" w:rsidP="00942DD7">
      <w:pPr>
        <w:rPr>
          <w:rFonts w:asciiTheme="minorHAnsi" w:eastAsia="MS Mincho" w:hAnsiTheme="minorHAnsi" w:cstheme="minorHAnsi"/>
        </w:rPr>
      </w:pPr>
    </w:p>
    <w:p w14:paraId="7359B846" w14:textId="2F73C7E8" w:rsidR="008F1733" w:rsidRPr="008F1733" w:rsidRDefault="008F1733" w:rsidP="008F1733">
      <w:pPr>
        <w:rPr>
          <w:rFonts w:asciiTheme="minorHAnsi" w:eastAsia="MS Mincho" w:hAnsiTheme="minorHAnsi" w:cstheme="minorHAnsi"/>
          <w:b/>
          <w:bCs/>
        </w:rPr>
      </w:pPr>
      <w:r w:rsidRPr="008F1733">
        <w:rPr>
          <w:rFonts w:asciiTheme="minorHAnsi" w:eastAsia="MS Mincho" w:hAnsiTheme="minorHAnsi" w:cstheme="minorHAnsi"/>
          <w:b/>
          <w:bCs/>
        </w:rPr>
        <w:t>Is collective bargaining necessary to address G</w:t>
      </w:r>
      <w:r w:rsidR="00445702">
        <w:rPr>
          <w:rFonts w:asciiTheme="minorHAnsi" w:eastAsia="MS Mincho" w:hAnsiTheme="minorHAnsi" w:cstheme="minorHAnsi"/>
          <w:b/>
          <w:bCs/>
        </w:rPr>
        <w:t xml:space="preserve">raduate </w:t>
      </w:r>
      <w:r w:rsidRPr="008F1733">
        <w:rPr>
          <w:rFonts w:asciiTheme="minorHAnsi" w:eastAsia="MS Mincho" w:hAnsiTheme="minorHAnsi" w:cstheme="minorHAnsi"/>
          <w:b/>
          <w:bCs/>
        </w:rPr>
        <w:t>A</w:t>
      </w:r>
      <w:r w:rsidR="00445702">
        <w:rPr>
          <w:rFonts w:asciiTheme="minorHAnsi" w:eastAsia="MS Mincho" w:hAnsiTheme="minorHAnsi" w:cstheme="minorHAnsi"/>
          <w:b/>
          <w:bCs/>
        </w:rPr>
        <w:t>ssistant</w:t>
      </w:r>
      <w:r w:rsidRPr="008F1733">
        <w:rPr>
          <w:rFonts w:asciiTheme="minorHAnsi" w:eastAsia="MS Mincho" w:hAnsiTheme="minorHAnsi" w:cstheme="minorHAnsi"/>
          <w:b/>
          <w:bCs/>
        </w:rPr>
        <w:t xml:space="preserve"> concerns?</w:t>
      </w:r>
    </w:p>
    <w:p w14:paraId="05A7780D" w14:textId="77777777" w:rsidR="008F1733" w:rsidRDefault="008F1733" w:rsidP="008F1733">
      <w:pPr>
        <w:rPr>
          <w:rFonts w:asciiTheme="minorHAnsi" w:eastAsia="MS Mincho" w:hAnsiTheme="minorHAnsi" w:cstheme="minorHAnsi"/>
        </w:rPr>
      </w:pPr>
    </w:p>
    <w:p w14:paraId="0A117770" w14:textId="5892BCC4" w:rsidR="00994098" w:rsidRDefault="008F1733" w:rsidP="008F1733">
      <w:pPr>
        <w:rPr>
          <w:rFonts w:asciiTheme="minorHAnsi" w:eastAsia="MS Mincho" w:hAnsiTheme="minorHAnsi" w:cstheme="minorHAnsi"/>
        </w:rPr>
      </w:pPr>
      <w:r>
        <w:rPr>
          <w:rFonts w:asciiTheme="minorHAnsi" w:eastAsia="MS Mincho" w:hAnsiTheme="minorHAnsi" w:cstheme="minorHAnsi"/>
        </w:rPr>
        <w:t xml:space="preserve">Some students claim that graduate assistants are </w:t>
      </w:r>
      <w:r w:rsidRPr="008F1733">
        <w:rPr>
          <w:rFonts w:asciiTheme="minorHAnsi" w:eastAsia="MS Mincho" w:hAnsiTheme="minorHAnsi" w:cstheme="minorHAnsi"/>
        </w:rPr>
        <w:t>vulnerable without collective bargaining rights</w:t>
      </w:r>
      <w:r w:rsidR="00846C19">
        <w:rPr>
          <w:rFonts w:asciiTheme="minorHAnsi" w:eastAsia="MS Mincho" w:hAnsiTheme="minorHAnsi" w:cstheme="minorHAnsi"/>
        </w:rPr>
        <w:t>,</w:t>
      </w:r>
      <w:r w:rsidR="008D30DA">
        <w:rPr>
          <w:rFonts w:asciiTheme="minorHAnsi" w:eastAsia="MS Mincho" w:hAnsiTheme="minorHAnsi" w:cstheme="minorHAnsi"/>
        </w:rPr>
        <w:t xml:space="preserve"> and that</w:t>
      </w:r>
      <w:r w:rsidR="00921745">
        <w:rPr>
          <w:rFonts w:asciiTheme="minorHAnsi" w:eastAsia="MS Mincho" w:hAnsiTheme="minorHAnsi" w:cstheme="minorHAnsi"/>
        </w:rPr>
        <w:t xml:space="preserve"> </w:t>
      </w:r>
      <w:r w:rsidRPr="008F1733">
        <w:rPr>
          <w:rFonts w:asciiTheme="minorHAnsi" w:eastAsia="MS Mincho" w:hAnsiTheme="minorHAnsi" w:cstheme="minorHAnsi"/>
        </w:rPr>
        <w:t xml:space="preserve">GAs have no means to address </w:t>
      </w:r>
      <w:r w:rsidR="00994098">
        <w:rPr>
          <w:rFonts w:asciiTheme="minorHAnsi" w:eastAsia="MS Mincho" w:hAnsiTheme="minorHAnsi" w:cstheme="minorHAnsi"/>
        </w:rPr>
        <w:t>the</w:t>
      </w:r>
      <w:r w:rsidR="002B0D40">
        <w:rPr>
          <w:rFonts w:asciiTheme="minorHAnsi" w:eastAsia="MS Mincho" w:hAnsiTheme="minorHAnsi" w:cstheme="minorHAnsi"/>
        </w:rPr>
        <w:t>ir</w:t>
      </w:r>
      <w:r w:rsidR="00994098">
        <w:rPr>
          <w:rFonts w:asciiTheme="minorHAnsi" w:eastAsia="MS Mincho" w:hAnsiTheme="minorHAnsi" w:cstheme="minorHAnsi"/>
        </w:rPr>
        <w:t xml:space="preserve"> </w:t>
      </w:r>
      <w:r w:rsidRPr="008F1733">
        <w:rPr>
          <w:rFonts w:asciiTheme="minorHAnsi" w:eastAsia="MS Mincho" w:hAnsiTheme="minorHAnsi" w:cstheme="minorHAnsi"/>
        </w:rPr>
        <w:t>concerns.</w:t>
      </w:r>
      <w:r>
        <w:rPr>
          <w:rFonts w:asciiTheme="minorHAnsi" w:eastAsia="MS Mincho" w:hAnsiTheme="minorHAnsi" w:cstheme="minorHAnsi"/>
        </w:rPr>
        <w:t xml:space="preserve"> </w:t>
      </w:r>
      <w:r w:rsidR="00445702">
        <w:rPr>
          <w:rFonts w:asciiTheme="minorHAnsi" w:eastAsia="MS Mincho" w:hAnsiTheme="minorHAnsi" w:cstheme="minorHAnsi"/>
        </w:rPr>
        <w:t>However, there are venues for GAs to do so.</w:t>
      </w:r>
      <w:r>
        <w:rPr>
          <w:rFonts w:asciiTheme="minorHAnsi" w:eastAsia="MS Mincho" w:hAnsiTheme="minorHAnsi" w:cstheme="minorHAnsi"/>
        </w:rPr>
        <w:t xml:space="preserve">  </w:t>
      </w:r>
      <w:r w:rsidR="00846C19">
        <w:rPr>
          <w:rFonts w:asciiTheme="minorHAnsi" w:eastAsia="MS Mincho" w:hAnsiTheme="minorHAnsi" w:cstheme="minorHAnsi"/>
        </w:rPr>
        <w:t>In the University’s</w:t>
      </w:r>
      <w:r>
        <w:rPr>
          <w:rFonts w:asciiTheme="minorHAnsi" w:eastAsia="MS Mincho" w:hAnsiTheme="minorHAnsi" w:cstheme="minorHAnsi"/>
        </w:rPr>
        <w:t xml:space="preserve"> established</w:t>
      </w:r>
      <w:r w:rsidR="006C6988">
        <w:rPr>
          <w:rFonts w:asciiTheme="minorHAnsi" w:eastAsia="MS Mincho" w:hAnsiTheme="minorHAnsi" w:cstheme="minorHAnsi"/>
        </w:rPr>
        <w:t xml:space="preserve"> </w:t>
      </w:r>
      <w:r w:rsidR="00B3316B">
        <w:rPr>
          <w:rFonts w:asciiTheme="minorHAnsi" w:eastAsia="MS Mincho" w:hAnsiTheme="minorHAnsi" w:cstheme="minorHAnsi"/>
        </w:rPr>
        <w:t>“</w:t>
      </w:r>
      <w:r w:rsidR="0027113A">
        <w:rPr>
          <w:rFonts w:asciiTheme="minorHAnsi" w:eastAsia="MS Mincho" w:hAnsiTheme="minorHAnsi" w:cstheme="minorHAnsi"/>
        </w:rPr>
        <w:t>M</w:t>
      </w:r>
      <w:r w:rsidR="00B3316B">
        <w:rPr>
          <w:rFonts w:asciiTheme="minorHAnsi" w:eastAsia="MS Mincho" w:hAnsiTheme="minorHAnsi" w:cstheme="minorHAnsi"/>
        </w:rPr>
        <w:t xml:space="preserve">eet and </w:t>
      </w:r>
      <w:r w:rsidR="0027113A">
        <w:rPr>
          <w:rFonts w:asciiTheme="minorHAnsi" w:eastAsia="MS Mincho" w:hAnsiTheme="minorHAnsi" w:cstheme="minorHAnsi"/>
        </w:rPr>
        <w:t>C</w:t>
      </w:r>
      <w:r w:rsidR="00B3316B">
        <w:rPr>
          <w:rFonts w:asciiTheme="minorHAnsi" w:eastAsia="MS Mincho" w:hAnsiTheme="minorHAnsi" w:cstheme="minorHAnsi"/>
        </w:rPr>
        <w:t xml:space="preserve">onfer” </w:t>
      </w:r>
      <w:r>
        <w:rPr>
          <w:rFonts w:asciiTheme="minorHAnsi" w:eastAsia="MS Mincho" w:hAnsiTheme="minorHAnsi" w:cstheme="minorHAnsi"/>
        </w:rPr>
        <w:t>process</w:t>
      </w:r>
      <w:r w:rsidR="00445702">
        <w:rPr>
          <w:rFonts w:asciiTheme="minorHAnsi" w:eastAsia="MS Mincho" w:hAnsiTheme="minorHAnsi" w:cstheme="minorHAnsi"/>
        </w:rPr>
        <w:t>,</w:t>
      </w:r>
      <w:r>
        <w:rPr>
          <w:rFonts w:asciiTheme="minorHAnsi" w:eastAsia="MS Mincho" w:hAnsiTheme="minorHAnsi" w:cstheme="minorHAnsi"/>
        </w:rPr>
        <w:t xml:space="preserve"> an elected group</w:t>
      </w:r>
      <w:r w:rsidR="00B55128">
        <w:rPr>
          <w:rFonts w:asciiTheme="minorHAnsi" w:eastAsia="MS Mincho" w:hAnsiTheme="minorHAnsi" w:cstheme="minorHAnsi"/>
        </w:rPr>
        <w:t xml:space="preserve"> of GAs</w:t>
      </w:r>
      <w:r w:rsidR="00445702">
        <w:rPr>
          <w:rFonts w:asciiTheme="minorHAnsi" w:eastAsia="MS Mincho" w:hAnsiTheme="minorHAnsi" w:cstheme="minorHAnsi"/>
        </w:rPr>
        <w:t xml:space="preserve">— </w:t>
      </w:r>
      <w:r>
        <w:rPr>
          <w:rFonts w:asciiTheme="minorHAnsi" w:eastAsia="MS Mincho" w:hAnsiTheme="minorHAnsi" w:cstheme="minorHAnsi"/>
        </w:rPr>
        <w:t>the Graduate Assistant Advisory Committee (GAAC</w:t>
      </w:r>
      <w:r w:rsidR="00445702">
        <w:rPr>
          <w:rFonts w:asciiTheme="minorHAnsi" w:eastAsia="MS Mincho" w:hAnsiTheme="minorHAnsi" w:cstheme="minorHAnsi"/>
        </w:rPr>
        <w:t>)—</w:t>
      </w:r>
      <w:r>
        <w:rPr>
          <w:rFonts w:asciiTheme="minorHAnsi" w:eastAsia="MS Mincho" w:hAnsiTheme="minorHAnsi" w:cstheme="minorHAnsi"/>
        </w:rPr>
        <w:t xml:space="preserve">meets with university leadership (Provost, Vice President for Finance and Administration, and Dean of the Graduate School) at least once </w:t>
      </w:r>
      <w:r w:rsidR="00445702">
        <w:rPr>
          <w:rFonts w:asciiTheme="minorHAnsi" w:eastAsia="MS Mincho" w:hAnsiTheme="minorHAnsi" w:cstheme="minorHAnsi"/>
        </w:rPr>
        <w:t xml:space="preserve">each </w:t>
      </w:r>
      <w:r>
        <w:rPr>
          <w:rFonts w:asciiTheme="minorHAnsi" w:eastAsia="MS Mincho" w:hAnsiTheme="minorHAnsi" w:cstheme="minorHAnsi"/>
        </w:rPr>
        <w:t xml:space="preserve">semester to discuss concerns and possible solutions. </w:t>
      </w:r>
      <w:r w:rsidR="00846C19">
        <w:rPr>
          <w:rFonts w:asciiTheme="minorHAnsi" w:eastAsia="MS Mincho" w:hAnsiTheme="minorHAnsi" w:cstheme="minorHAnsi"/>
        </w:rPr>
        <w:t>These</w:t>
      </w:r>
      <w:r w:rsidR="00994098">
        <w:rPr>
          <w:rFonts w:asciiTheme="minorHAnsi" w:eastAsia="MS Mincho" w:hAnsiTheme="minorHAnsi" w:cstheme="minorHAnsi"/>
        </w:rPr>
        <w:t xml:space="preserve"> discussions</w:t>
      </w:r>
      <w:r w:rsidR="00846C19">
        <w:rPr>
          <w:rFonts w:asciiTheme="minorHAnsi" w:eastAsia="MS Mincho" w:hAnsiTheme="minorHAnsi" w:cstheme="minorHAnsi"/>
        </w:rPr>
        <w:t xml:space="preserve"> have contributed to these outcomes</w:t>
      </w:r>
      <w:r w:rsidR="00994098">
        <w:rPr>
          <w:rFonts w:asciiTheme="minorHAnsi" w:eastAsia="MS Mincho" w:hAnsiTheme="minorHAnsi" w:cstheme="minorHAnsi"/>
        </w:rPr>
        <w:t>:</w:t>
      </w:r>
    </w:p>
    <w:p w14:paraId="3E9A19EA" w14:textId="77777777" w:rsidR="006811FD" w:rsidRDefault="006811FD" w:rsidP="008F1733">
      <w:pPr>
        <w:rPr>
          <w:rFonts w:asciiTheme="minorHAnsi" w:eastAsia="MS Mincho" w:hAnsiTheme="minorHAnsi" w:cstheme="minorHAnsi"/>
        </w:rPr>
      </w:pPr>
    </w:p>
    <w:p w14:paraId="6839FA6A" w14:textId="0CE92409" w:rsidR="00994098" w:rsidRDefault="00B55128"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M</w:t>
      </w:r>
      <w:r w:rsidR="00994098" w:rsidRPr="00994098">
        <w:rPr>
          <w:rFonts w:asciiTheme="minorHAnsi" w:eastAsia="MS Mincho" w:hAnsiTheme="minorHAnsi" w:cstheme="minorHAnsi"/>
        </w:rPr>
        <w:t>inimum stipends have increased 17.6% since July 2018</w:t>
      </w:r>
      <w:r w:rsidR="00994098">
        <w:rPr>
          <w:rFonts w:asciiTheme="minorHAnsi" w:eastAsia="MS Mincho" w:hAnsiTheme="minorHAnsi" w:cstheme="minorHAnsi"/>
        </w:rPr>
        <w:t xml:space="preserve">, </w:t>
      </w:r>
      <w:r w:rsidR="00994098" w:rsidRPr="00994098">
        <w:rPr>
          <w:rFonts w:asciiTheme="minorHAnsi" w:eastAsia="MS Mincho" w:hAnsiTheme="minorHAnsi" w:cstheme="minorHAnsi"/>
        </w:rPr>
        <w:t>bringing minimum stipends to above the cost of attendance and above the Big Ten median</w:t>
      </w:r>
      <w:r w:rsidR="00B730E4">
        <w:rPr>
          <w:rFonts w:asciiTheme="minorHAnsi" w:eastAsia="MS Mincho" w:hAnsiTheme="minorHAnsi" w:cstheme="minorHAnsi"/>
        </w:rPr>
        <w:t xml:space="preserve"> (see </w:t>
      </w:r>
      <w:r>
        <w:rPr>
          <w:rFonts w:asciiTheme="minorHAnsi" w:eastAsia="MS Mincho" w:hAnsiTheme="minorHAnsi" w:cstheme="minorHAnsi"/>
        </w:rPr>
        <w:t xml:space="preserve">attached </w:t>
      </w:r>
      <w:r w:rsidR="00B730E4">
        <w:rPr>
          <w:rFonts w:asciiTheme="minorHAnsi" w:eastAsia="MS Mincho" w:hAnsiTheme="minorHAnsi" w:cstheme="minorHAnsi"/>
        </w:rPr>
        <w:t>table)</w:t>
      </w:r>
      <w:r>
        <w:rPr>
          <w:rFonts w:asciiTheme="minorHAnsi" w:eastAsia="MS Mincho" w:hAnsiTheme="minorHAnsi" w:cstheme="minorHAnsi"/>
        </w:rPr>
        <w:t>.</w:t>
      </w:r>
    </w:p>
    <w:p w14:paraId="6AA36188" w14:textId="505CD8DB" w:rsidR="00994098" w:rsidRDefault="00B55128"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E</w:t>
      </w:r>
      <w:r w:rsidR="00994098" w:rsidRPr="00994098">
        <w:rPr>
          <w:rFonts w:asciiTheme="minorHAnsi" w:eastAsia="MS Mincho" w:hAnsiTheme="minorHAnsi" w:cstheme="minorHAnsi"/>
        </w:rPr>
        <w:t>xpectation-setting meeting</w:t>
      </w:r>
      <w:r w:rsidR="008A17FB">
        <w:rPr>
          <w:rFonts w:asciiTheme="minorHAnsi" w:eastAsia="MS Mincho" w:hAnsiTheme="minorHAnsi" w:cstheme="minorHAnsi"/>
        </w:rPr>
        <w:t xml:space="preserve">s </w:t>
      </w:r>
      <w:r w:rsidR="00994098" w:rsidRPr="00994098">
        <w:rPr>
          <w:rFonts w:asciiTheme="minorHAnsi" w:eastAsia="MS Mincho" w:hAnsiTheme="minorHAnsi" w:cstheme="minorHAnsi"/>
        </w:rPr>
        <w:t xml:space="preserve">between GAs and their supervisors </w:t>
      </w:r>
      <w:r w:rsidR="0031011B">
        <w:rPr>
          <w:rFonts w:asciiTheme="minorHAnsi" w:eastAsia="MS Mincho" w:hAnsiTheme="minorHAnsi" w:cstheme="minorHAnsi"/>
        </w:rPr>
        <w:t xml:space="preserve">are </w:t>
      </w:r>
      <w:r w:rsidR="00445702">
        <w:rPr>
          <w:rFonts w:asciiTheme="minorHAnsi" w:eastAsia="MS Mincho" w:hAnsiTheme="minorHAnsi" w:cstheme="minorHAnsi"/>
        </w:rPr>
        <w:t xml:space="preserve">now </w:t>
      </w:r>
      <w:r w:rsidR="0031011B" w:rsidRPr="00994098">
        <w:rPr>
          <w:rFonts w:asciiTheme="minorHAnsi" w:eastAsia="MS Mincho" w:hAnsiTheme="minorHAnsi" w:cstheme="minorHAnsi"/>
        </w:rPr>
        <w:t>required</w:t>
      </w:r>
      <w:r w:rsidR="00445702">
        <w:rPr>
          <w:rFonts w:asciiTheme="minorHAnsi" w:eastAsia="MS Mincho" w:hAnsiTheme="minorHAnsi" w:cstheme="minorHAnsi"/>
        </w:rPr>
        <w:t>,</w:t>
      </w:r>
      <w:r w:rsidR="0031011B" w:rsidRPr="00994098">
        <w:rPr>
          <w:rFonts w:asciiTheme="minorHAnsi" w:eastAsia="MS Mincho" w:hAnsiTheme="minorHAnsi" w:cstheme="minorHAnsi"/>
        </w:rPr>
        <w:t xml:space="preserve"> </w:t>
      </w:r>
      <w:r w:rsidR="00994098" w:rsidRPr="00994098">
        <w:rPr>
          <w:rFonts w:asciiTheme="minorHAnsi" w:eastAsia="MS Mincho" w:hAnsiTheme="minorHAnsi" w:cstheme="minorHAnsi"/>
        </w:rPr>
        <w:t>and statements of mutual expectation have been developed to guide those discussions</w:t>
      </w:r>
      <w:r>
        <w:rPr>
          <w:rFonts w:asciiTheme="minorHAnsi" w:eastAsia="MS Mincho" w:hAnsiTheme="minorHAnsi" w:cstheme="minorHAnsi"/>
        </w:rPr>
        <w:t>.</w:t>
      </w:r>
    </w:p>
    <w:p w14:paraId="28D86442" w14:textId="67B7058D" w:rsidR="00994098" w:rsidRDefault="00B55128"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P</w:t>
      </w:r>
      <w:r w:rsidR="00994098">
        <w:rPr>
          <w:rFonts w:asciiTheme="minorHAnsi" w:eastAsia="MS Mincho" w:hAnsiTheme="minorHAnsi" w:cstheme="minorHAnsi"/>
        </w:rPr>
        <w:t xml:space="preserve">olicies have been </w:t>
      </w:r>
      <w:r w:rsidR="00994098" w:rsidRPr="00994098">
        <w:rPr>
          <w:rFonts w:asciiTheme="minorHAnsi" w:eastAsia="MS Mincho" w:hAnsiTheme="minorHAnsi" w:cstheme="minorHAnsi"/>
        </w:rPr>
        <w:t>adopt</w:t>
      </w:r>
      <w:r w:rsidR="00994098">
        <w:rPr>
          <w:rFonts w:asciiTheme="minorHAnsi" w:eastAsia="MS Mincho" w:hAnsiTheme="minorHAnsi" w:cstheme="minorHAnsi"/>
        </w:rPr>
        <w:t xml:space="preserve">ed </w:t>
      </w:r>
      <w:r w:rsidR="0031011B">
        <w:rPr>
          <w:rFonts w:asciiTheme="minorHAnsi" w:eastAsia="MS Mincho" w:hAnsiTheme="minorHAnsi" w:cstheme="minorHAnsi"/>
        </w:rPr>
        <w:t xml:space="preserve">to allow </w:t>
      </w:r>
      <w:r w:rsidR="00846C19">
        <w:rPr>
          <w:rFonts w:asciiTheme="minorHAnsi" w:eastAsia="MS Mincho" w:hAnsiTheme="minorHAnsi" w:cstheme="minorHAnsi"/>
        </w:rPr>
        <w:t xml:space="preserve">GAs </w:t>
      </w:r>
      <w:r w:rsidR="00994098" w:rsidRPr="00994098">
        <w:rPr>
          <w:rFonts w:asciiTheme="minorHAnsi" w:eastAsia="MS Mincho" w:hAnsiTheme="minorHAnsi" w:cstheme="minorHAnsi"/>
        </w:rPr>
        <w:t>time away from duties and parental leave</w:t>
      </w:r>
      <w:r>
        <w:rPr>
          <w:rFonts w:asciiTheme="minorHAnsi" w:eastAsia="MS Mincho" w:hAnsiTheme="minorHAnsi" w:cstheme="minorHAnsi"/>
        </w:rPr>
        <w:t>.</w:t>
      </w:r>
      <w:r w:rsidR="00994098" w:rsidRPr="00994098">
        <w:rPr>
          <w:rFonts w:asciiTheme="minorHAnsi" w:eastAsia="MS Mincho" w:hAnsiTheme="minorHAnsi" w:cstheme="minorHAnsi"/>
        </w:rPr>
        <w:t xml:space="preserve"> </w:t>
      </w:r>
    </w:p>
    <w:p w14:paraId="7D07D0E6" w14:textId="497EB8DB" w:rsidR="00994098" w:rsidRDefault="00B55128"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A</w:t>
      </w:r>
      <w:r w:rsidR="00994098" w:rsidRPr="00994098">
        <w:rPr>
          <w:rFonts w:asciiTheme="minorHAnsi" w:eastAsia="MS Mincho" w:hAnsiTheme="minorHAnsi" w:cstheme="minorHAnsi"/>
        </w:rPr>
        <w:t xml:space="preserve"> grievance policy and process</w:t>
      </w:r>
      <w:r w:rsidR="00994098">
        <w:rPr>
          <w:rFonts w:asciiTheme="minorHAnsi" w:eastAsia="MS Mincho" w:hAnsiTheme="minorHAnsi" w:cstheme="minorHAnsi"/>
        </w:rPr>
        <w:t xml:space="preserve"> have been implemented</w:t>
      </w:r>
      <w:r>
        <w:rPr>
          <w:rFonts w:asciiTheme="minorHAnsi" w:eastAsia="MS Mincho" w:hAnsiTheme="minorHAnsi" w:cstheme="minorHAnsi"/>
        </w:rPr>
        <w:t>.</w:t>
      </w:r>
      <w:r w:rsidR="00994098" w:rsidRPr="00994098">
        <w:rPr>
          <w:rFonts w:asciiTheme="minorHAnsi" w:eastAsia="MS Mincho" w:hAnsiTheme="minorHAnsi" w:cstheme="minorHAnsi"/>
        </w:rPr>
        <w:t xml:space="preserve"> </w:t>
      </w:r>
    </w:p>
    <w:p w14:paraId="04DE73D6" w14:textId="3BB0083D" w:rsidR="008F1733" w:rsidRDefault="00846C19"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t>A</w:t>
      </w:r>
      <w:r w:rsidRPr="00994098">
        <w:rPr>
          <w:rFonts w:asciiTheme="minorHAnsi" w:eastAsia="MS Mincho" w:hAnsiTheme="minorHAnsi" w:cstheme="minorHAnsi"/>
        </w:rPr>
        <w:t xml:space="preserve"> time-use study </w:t>
      </w:r>
      <w:r>
        <w:rPr>
          <w:rFonts w:asciiTheme="minorHAnsi" w:eastAsia="MS Mincho" w:hAnsiTheme="minorHAnsi" w:cstheme="minorHAnsi"/>
        </w:rPr>
        <w:t>was commissioned</w:t>
      </w:r>
      <w:r w:rsidDel="00846C19">
        <w:rPr>
          <w:rFonts w:asciiTheme="minorHAnsi" w:eastAsia="MS Mincho" w:hAnsiTheme="minorHAnsi" w:cstheme="minorHAnsi"/>
        </w:rPr>
        <w:t xml:space="preserve"> </w:t>
      </w:r>
      <w:r>
        <w:rPr>
          <w:rFonts w:asciiTheme="minorHAnsi" w:eastAsia="MS Mincho" w:hAnsiTheme="minorHAnsi" w:cstheme="minorHAnsi"/>
        </w:rPr>
        <w:t>i</w:t>
      </w:r>
      <w:r w:rsidR="00B55128">
        <w:rPr>
          <w:rFonts w:asciiTheme="minorHAnsi" w:eastAsia="MS Mincho" w:hAnsiTheme="minorHAnsi" w:cstheme="minorHAnsi"/>
        </w:rPr>
        <w:t xml:space="preserve">n response to concerns that GAs were working much more than 20 hours per week. This study </w:t>
      </w:r>
      <w:r w:rsidR="00994098" w:rsidRPr="00994098">
        <w:rPr>
          <w:rFonts w:asciiTheme="minorHAnsi" w:eastAsia="MS Mincho" w:hAnsiTheme="minorHAnsi" w:cstheme="minorHAnsi"/>
        </w:rPr>
        <w:t xml:space="preserve">showed </w:t>
      </w:r>
      <w:r w:rsidR="0031011B">
        <w:rPr>
          <w:rFonts w:asciiTheme="minorHAnsi" w:eastAsia="MS Mincho" w:hAnsiTheme="minorHAnsi" w:cstheme="minorHAnsi"/>
        </w:rPr>
        <w:t xml:space="preserve">that </w:t>
      </w:r>
      <w:r w:rsidR="00994098" w:rsidRPr="00994098">
        <w:rPr>
          <w:rFonts w:asciiTheme="minorHAnsi" w:eastAsia="MS Mincho" w:hAnsiTheme="minorHAnsi" w:cstheme="minorHAnsi"/>
        </w:rPr>
        <w:t xml:space="preserve">GAs </w:t>
      </w:r>
      <w:r w:rsidR="008A17FB">
        <w:rPr>
          <w:rFonts w:asciiTheme="minorHAnsi" w:eastAsia="MS Mincho" w:hAnsiTheme="minorHAnsi" w:cstheme="minorHAnsi"/>
        </w:rPr>
        <w:t>spend</w:t>
      </w:r>
      <w:r w:rsidR="00B55128">
        <w:rPr>
          <w:rFonts w:asciiTheme="minorHAnsi" w:eastAsia="MS Mincho" w:hAnsiTheme="minorHAnsi" w:cstheme="minorHAnsi"/>
        </w:rPr>
        <w:t xml:space="preserve"> an </w:t>
      </w:r>
      <w:r w:rsidR="00994098">
        <w:rPr>
          <w:rFonts w:asciiTheme="minorHAnsi" w:eastAsia="MS Mincho" w:hAnsiTheme="minorHAnsi" w:cstheme="minorHAnsi"/>
        </w:rPr>
        <w:t>average</w:t>
      </w:r>
      <w:r w:rsidR="00B55128">
        <w:rPr>
          <w:rFonts w:asciiTheme="minorHAnsi" w:eastAsia="MS Mincho" w:hAnsiTheme="minorHAnsi" w:cstheme="minorHAnsi"/>
        </w:rPr>
        <w:t xml:space="preserve"> of 18 </w:t>
      </w:r>
      <w:r w:rsidR="00994098" w:rsidRPr="00994098">
        <w:rPr>
          <w:rFonts w:asciiTheme="minorHAnsi" w:eastAsia="MS Mincho" w:hAnsiTheme="minorHAnsi" w:cstheme="minorHAnsi"/>
        </w:rPr>
        <w:t>hours per week</w:t>
      </w:r>
      <w:r w:rsidR="008A17FB">
        <w:rPr>
          <w:rFonts w:asciiTheme="minorHAnsi" w:eastAsia="MS Mincho" w:hAnsiTheme="minorHAnsi" w:cstheme="minorHAnsi"/>
        </w:rPr>
        <w:t xml:space="preserve"> on GA duties</w:t>
      </w:r>
      <w:r w:rsidR="006C6988">
        <w:rPr>
          <w:rFonts w:asciiTheme="minorHAnsi" w:eastAsia="MS Mincho" w:hAnsiTheme="minorHAnsi" w:cstheme="minorHAnsi"/>
        </w:rPr>
        <w:t>, with an average of 6 of those hours contributing to a student’s own research</w:t>
      </w:r>
      <w:r w:rsidR="00F11CF8">
        <w:rPr>
          <w:rFonts w:asciiTheme="minorHAnsi" w:eastAsia="MS Mincho" w:hAnsiTheme="minorHAnsi" w:cstheme="minorHAnsi"/>
        </w:rPr>
        <w:t xml:space="preserve"> (see below).</w:t>
      </w:r>
    </w:p>
    <w:p w14:paraId="118C2240" w14:textId="757A62FC" w:rsidR="00994098" w:rsidRPr="00994098" w:rsidRDefault="00B55128" w:rsidP="00994098">
      <w:pPr>
        <w:pStyle w:val="ListParagraph"/>
        <w:numPr>
          <w:ilvl w:val="0"/>
          <w:numId w:val="19"/>
        </w:numPr>
        <w:rPr>
          <w:rFonts w:asciiTheme="minorHAnsi" w:eastAsia="MS Mincho" w:hAnsiTheme="minorHAnsi" w:cstheme="minorHAnsi"/>
        </w:rPr>
      </w:pPr>
      <w:r>
        <w:rPr>
          <w:rFonts w:asciiTheme="minorHAnsi" w:eastAsia="MS Mincho" w:hAnsiTheme="minorHAnsi" w:cstheme="minorHAnsi"/>
        </w:rPr>
        <w:lastRenderedPageBreak/>
        <w:t>T</w:t>
      </w:r>
      <w:r w:rsidR="00994098">
        <w:rPr>
          <w:rFonts w:asciiTheme="minorHAnsi" w:eastAsia="MS Mincho" w:hAnsiTheme="minorHAnsi" w:cstheme="minorHAnsi"/>
        </w:rPr>
        <w:t>he new position of Graduate Academic Counselor</w:t>
      </w:r>
      <w:r w:rsidR="0031011B">
        <w:rPr>
          <w:rFonts w:asciiTheme="minorHAnsi" w:eastAsia="MS Mincho" w:hAnsiTheme="minorHAnsi" w:cstheme="minorHAnsi"/>
        </w:rPr>
        <w:t xml:space="preserve"> was created and filled</w:t>
      </w:r>
      <w:r w:rsidR="00994098">
        <w:rPr>
          <w:rFonts w:asciiTheme="minorHAnsi" w:eastAsia="MS Mincho" w:hAnsiTheme="minorHAnsi" w:cstheme="minorHAnsi"/>
        </w:rPr>
        <w:t xml:space="preserve">, to help GAs </w:t>
      </w:r>
      <w:r w:rsidR="00445702">
        <w:rPr>
          <w:rFonts w:asciiTheme="minorHAnsi" w:eastAsia="MS Mincho" w:hAnsiTheme="minorHAnsi" w:cstheme="minorHAnsi"/>
        </w:rPr>
        <w:t xml:space="preserve">and </w:t>
      </w:r>
      <w:r w:rsidR="00846C19">
        <w:rPr>
          <w:rFonts w:asciiTheme="minorHAnsi" w:eastAsia="MS Mincho" w:hAnsiTheme="minorHAnsi" w:cstheme="minorHAnsi"/>
        </w:rPr>
        <w:t xml:space="preserve">any </w:t>
      </w:r>
      <w:r w:rsidR="00445702">
        <w:rPr>
          <w:rFonts w:asciiTheme="minorHAnsi" w:eastAsia="MS Mincho" w:hAnsiTheme="minorHAnsi" w:cstheme="minorHAnsi"/>
        </w:rPr>
        <w:t xml:space="preserve">graduate </w:t>
      </w:r>
      <w:r w:rsidR="00994098">
        <w:rPr>
          <w:rFonts w:asciiTheme="minorHAnsi" w:eastAsia="MS Mincho" w:hAnsiTheme="minorHAnsi" w:cstheme="minorHAnsi"/>
        </w:rPr>
        <w:t>student</w:t>
      </w:r>
      <w:r w:rsidR="00846C19">
        <w:rPr>
          <w:rFonts w:asciiTheme="minorHAnsi" w:eastAsia="MS Mincho" w:hAnsiTheme="minorHAnsi" w:cstheme="minorHAnsi"/>
        </w:rPr>
        <w:t>s</w:t>
      </w:r>
      <w:r w:rsidR="00994098">
        <w:rPr>
          <w:rFonts w:asciiTheme="minorHAnsi" w:eastAsia="MS Mincho" w:hAnsiTheme="minorHAnsi" w:cstheme="minorHAnsi"/>
        </w:rPr>
        <w:t xml:space="preserve"> experiencing difficulties </w:t>
      </w:r>
      <w:r w:rsidR="00445702">
        <w:rPr>
          <w:rFonts w:asciiTheme="minorHAnsi" w:eastAsia="MS Mincho" w:hAnsiTheme="minorHAnsi" w:cstheme="minorHAnsi"/>
        </w:rPr>
        <w:t xml:space="preserve">to </w:t>
      </w:r>
      <w:r w:rsidR="00994098">
        <w:rPr>
          <w:rFonts w:asciiTheme="minorHAnsi" w:eastAsia="MS Mincho" w:hAnsiTheme="minorHAnsi" w:cstheme="minorHAnsi"/>
        </w:rPr>
        <w:t>access university services.</w:t>
      </w:r>
    </w:p>
    <w:p w14:paraId="208E7473" w14:textId="1397C16F" w:rsidR="008F1733" w:rsidRDefault="008F1733" w:rsidP="00942DD7">
      <w:pPr>
        <w:rPr>
          <w:rFonts w:asciiTheme="minorHAnsi" w:eastAsia="MS Mincho" w:hAnsiTheme="minorHAnsi" w:cstheme="minorHAnsi"/>
        </w:rPr>
      </w:pPr>
    </w:p>
    <w:p w14:paraId="338A1B95" w14:textId="0D1D8697" w:rsidR="00B3316B" w:rsidRDefault="00B3316B" w:rsidP="00942DD7">
      <w:pPr>
        <w:rPr>
          <w:rFonts w:asciiTheme="minorHAnsi" w:eastAsia="MS Mincho" w:hAnsiTheme="minorHAnsi" w:cstheme="minorHAnsi"/>
        </w:rPr>
      </w:pPr>
      <w:r w:rsidRPr="00B3316B">
        <w:rPr>
          <w:rFonts w:asciiTheme="minorHAnsi" w:eastAsia="MS Mincho" w:hAnsiTheme="minorHAnsi" w:cstheme="minorHAnsi"/>
        </w:rPr>
        <w:t xml:space="preserve">The “Meet and Confer” process provides </w:t>
      </w:r>
      <w:r>
        <w:rPr>
          <w:rFonts w:asciiTheme="minorHAnsi" w:eastAsia="MS Mincho" w:hAnsiTheme="minorHAnsi" w:cstheme="minorHAnsi"/>
        </w:rPr>
        <w:t xml:space="preserve">GAs </w:t>
      </w:r>
      <w:r w:rsidRPr="00B3316B">
        <w:rPr>
          <w:rFonts w:asciiTheme="minorHAnsi" w:eastAsia="MS Mincho" w:hAnsiTheme="minorHAnsi" w:cstheme="minorHAnsi"/>
        </w:rPr>
        <w:t>with many of the perceived benefits that collective bargaining offers, including the right to engage a labor organization to assist them in this process.</w:t>
      </w:r>
      <w:r>
        <w:rPr>
          <w:rFonts w:asciiTheme="minorHAnsi" w:eastAsia="MS Mincho" w:hAnsiTheme="minorHAnsi" w:cstheme="minorHAnsi"/>
        </w:rPr>
        <w:t xml:space="preserve">  </w:t>
      </w:r>
      <w:r w:rsidR="00B55128">
        <w:rPr>
          <w:rFonts w:asciiTheme="minorHAnsi" w:eastAsia="MS Mincho" w:hAnsiTheme="minorHAnsi" w:cstheme="minorHAnsi"/>
        </w:rPr>
        <w:t>(</w:t>
      </w:r>
      <w:r>
        <w:rPr>
          <w:rFonts w:asciiTheme="minorHAnsi" w:eastAsia="MS Mincho" w:hAnsiTheme="minorHAnsi" w:cstheme="minorHAnsi"/>
        </w:rPr>
        <w:t>In the ten years that the “Meet and Confer” process has been in place, GAAC has declined to engage a labor organization.</w:t>
      </w:r>
      <w:r w:rsidR="00B55128">
        <w:rPr>
          <w:rFonts w:asciiTheme="minorHAnsi" w:eastAsia="MS Mincho" w:hAnsiTheme="minorHAnsi" w:cstheme="minorHAnsi"/>
        </w:rPr>
        <w:t>)</w:t>
      </w:r>
      <w:r w:rsidR="00B730E4">
        <w:rPr>
          <w:rFonts w:asciiTheme="minorHAnsi" w:eastAsia="MS Mincho" w:hAnsiTheme="minorHAnsi" w:cstheme="minorHAnsi"/>
        </w:rPr>
        <w:t xml:space="preserve">  </w:t>
      </w:r>
      <w:r w:rsidR="00A66DFB">
        <w:rPr>
          <w:rFonts w:asciiTheme="minorHAnsi" w:eastAsia="MS Mincho" w:hAnsiTheme="minorHAnsi" w:cstheme="minorHAnsi"/>
        </w:rPr>
        <w:t>G</w:t>
      </w:r>
      <w:r w:rsidR="00B730E4" w:rsidRPr="00B730E4">
        <w:rPr>
          <w:rFonts w:asciiTheme="minorHAnsi" w:eastAsia="MS Mincho" w:hAnsiTheme="minorHAnsi" w:cstheme="minorHAnsi"/>
        </w:rPr>
        <w:t xml:space="preserve">raduate students </w:t>
      </w:r>
      <w:r w:rsidR="00A66DFB">
        <w:rPr>
          <w:rFonts w:asciiTheme="minorHAnsi" w:eastAsia="MS Mincho" w:hAnsiTheme="minorHAnsi" w:cstheme="minorHAnsi"/>
        </w:rPr>
        <w:t xml:space="preserve">also </w:t>
      </w:r>
      <w:r w:rsidR="00B730E4" w:rsidRPr="00B730E4">
        <w:rPr>
          <w:rFonts w:asciiTheme="minorHAnsi" w:eastAsia="MS Mincho" w:hAnsiTheme="minorHAnsi" w:cstheme="minorHAnsi"/>
        </w:rPr>
        <w:t xml:space="preserve">serve on the Graduate Council, which helps make policy for graduate education, including </w:t>
      </w:r>
      <w:r w:rsidR="009D783A">
        <w:rPr>
          <w:rFonts w:asciiTheme="minorHAnsi" w:eastAsia="MS Mincho" w:hAnsiTheme="minorHAnsi" w:cstheme="minorHAnsi"/>
        </w:rPr>
        <w:t xml:space="preserve">policy </w:t>
      </w:r>
      <w:r w:rsidR="00B730E4" w:rsidRPr="00B730E4">
        <w:rPr>
          <w:rFonts w:asciiTheme="minorHAnsi" w:eastAsia="MS Mincho" w:hAnsiTheme="minorHAnsi" w:cstheme="minorHAnsi"/>
        </w:rPr>
        <w:t xml:space="preserve">relating to </w:t>
      </w:r>
      <w:r w:rsidR="00445702">
        <w:rPr>
          <w:rFonts w:asciiTheme="minorHAnsi" w:eastAsia="MS Mincho" w:hAnsiTheme="minorHAnsi" w:cstheme="minorHAnsi"/>
        </w:rPr>
        <w:t>GAs</w:t>
      </w:r>
      <w:r w:rsidR="00B730E4" w:rsidRPr="00B730E4">
        <w:rPr>
          <w:rFonts w:asciiTheme="minorHAnsi" w:eastAsia="MS Mincho" w:hAnsiTheme="minorHAnsi" w:cstheme="minorHAnsi"/>
        </w:rPr>
        <w:t>.</w:t>
      </w:r>
      <w:r w:rsidR="00B55128">
        <w:rPr>
          <w:rFonts w:asciiTheme="minorHAnsi" w:eastAsia="MS Mincho" w:hAnsiTheme="minorHAnsi" w:cstheme="minorHAnsi"/>
        </w:rPr>
        <w:t xml:space="preserve"> The </w:t>
      </w:r>
      <w:r w:rsidR="002B0D40">
        <w:rPr>
          <w:rFonts w:asciiTheme="minorHAnsi" w:eastAsia="MS Mincho" w:hAnsiTheme="minorHAnsi" w:cstheme="minorHAnsi"/>
        </w:rPr>
        <w:t xml:space="preserve">Dean of the </w:t>
      </w:r>
      <w:r w:rsidR="00B55128">
        <w:rPr>
          <w:rFonts w:asciiTheme="minorHAnsi" w:eastAsia="MS Mincho" w:hAnsiTheme="minorHAnsi" w:cstheme="minorHAnsi"/>
        </w:rPr>
        <w:t>Graduate School also meets regularly with leadership of the Graduate Student Government.</w:t>
      </w:r>
    </w:p>
    <w:p w14:paraId="40C11969" w14:textId="4AF8A0B8" w:rsidR="006C6988" w:rsidRDefault="006C6988" w:rsidP="00942DD7">
      <w:pPr>
        <w:rPr>
          <w:rFonts w:asciiTheme="minorHAnsi" w:eastAsia="MS Mincho" w:hAnsiTheme="minorHAnsi" w:cstheme="minorHAnsi"/>
        </w:rPr>
      </w:pPr>
    </w:p>
    <w:p w14:paraId="3F3A88F0" w14:textId="43A42DB6" w:rsidR="006C6988" w:rsidRDefault="006C6988" w:rsidP="00942DD7">
      <w:pPr>
        <w:rPr>
          <w:rFonts w:asciiTheme="minorHAnsi" w:eastAsia="MS Mincho" w:hAnsiTheme="minorHAnsi" w:cstheme="minorHAnsi"/>
        </w:rPr>
      </w:pPr>
      <w:r w:rsidRPr="006767E0">
        <w:rPr>
          <w:rFonts w:asciiTheme="minorHAnsi" w:eastAsia="MS Mincho" w:hAnsiTheme="minorHAnsi" w:cstheme="minorHAnsi"/>
        </w:rPr>
        <w:t xml:space="preserve">The </w:t>
      </w:r>
      <w:r>
        <w:rPr>
          <w:rFonts w:asciiTheme="minorHAnsi" w:eastAsia="MS Mincho" w:hAnsiTheme="minorHAnsi" w:cstheme="minorHAnsi"/>
        </w:rPr>
        <w:t xml:space="preserve">Graduate School serves as an advocate for all graduate students, including GAs.  We want all graduate students to succeed and we want to help resolve any problems that arise for all of them.  The Graduate School encourages students to report violations of Graduate School and University policy, including excessive hours, harassment, unacceptable behavior, or unsafe conditions.  The Graduate Student Ombudsman </w:t>
      </w:r>
      <w:r w:rsidRPr="006767E0">
        <w:rPr>
          <w:rFonts w:asciiTheme="minorHAnsi" w:eastAsia="MS Mincho" w:hAnsiTheme="minorHAnsi" w:cstheme="minorHAnsi"/>
        </w:rPr>
        <w:t>provides confidential and informal assistance in resolving conflicts and promotes fair and equitable treatment</w:t>
      </w:r>
      <w:r>
        <w:rPr>
          <w:rFonts w:asciiTheme="minorHAnsi" w:eastAsia="MS Mincho" w:hAnsiTheme="minorHAnsi" w:cstheme="minorHAnsi"/>
        </w:rPr>
        <w:t>, and, if necessary, the Graduate School can take formal action to investigate and resolve problematic situations</w:t>
      </w:r>
      <w:r w:rsidRPr="006767E0">
        <w:rPr>
          <w:rFonts w:asciiTheme="minorHAnsi" w:eastAsia="MS Mincho" w:hAnsiTheme="minorHAnsi" w:cstheme="minorHAnsi"/>
        </w:rPr>
        <w:t>.</w:t>
      </w:r>
      <w:r>
        <w:rPr>
          <w:rFonts w:asciiTheme="minorHAnsi" w:eastAsia="MS Mincho" w:hAnsiTheme="minorHAnsi" w:cstheme="minorHAnsi"/>
        </w:rPr>
        <w:t xml:space="preserve">  </w:t>
      </w:r>
      <w:r w:rsidRPr="00942DD7">
        <w:rPr>
          <w:rFonts w:asciiTheme="minorHAnsi" w:eastAsia="MS Mincho" w:hAnsiTheme="minorHAnsi" w:cstheme="minorHAnsi"/>
        </w:rPr>
        <w:t xml:space="preserve">Collective bargaining would </w:t>
      </w:r>
      <w:r>
        <w:rPr>
          <w:rFonts w:asciiTheme="minorHAnsi" w:eastAsia="MS Mincho" w:hAnsiTheme="minorHAnsi" w:cstheme="minorHAnsi"/>
        </w:rPr>
        <w:t xml:space="preserve">limit the </w:t>
      </w:r>
      <w:r w:rsidRPr="00942DD7">
        <w:rPr>
          <w:rFonts w:asciiTheme="minorHAnsi" w:eastAsia="MS Mincho" w:hAnsiTheme="minorHAnsi" w:cstheme="minorHAnsi"/>
        </w:rPr>
        <w:t xml:space="preserve">University’s </w:t>
      </w:r>
      <w:r>
        <w:rPr>
          <w:rFonts w:asciiTheme="minorHAnsi" w:eastAsia="MS Mincho" w:hAnsiTheme="minorHAnsi" w:cstheme="minorHAnsi"/>
        </w:rPr>
        <w:t>ability to address problems for all graduate students as they arise and reduce the current flexibility to tailor solutions to the situation of a particular student</w:t>
      </w:r>
      <w:r w:rsidRPr="00942DD7">
        <w:rPr>
          <w:rFonts w:asciiTheme="minorHAnsi" w:eastAsia="MS Mincho" w:hAnsiTheme="minorHAnsi" w:cstheme="minorHAnsi"/>
        </w:rPr>
        <w:t xml:space="preserve">.  </w:t>
      </w:r>
    </w:p>
    <w:p w14:paraId="38E10E29" w14:textId="77777777" w:rsidR="006811FD" w:rsidRPr="006C6988" w:rsidRDefault="006811FD" w:rsidP="00942DD7">
      <w:pPr>
        <w:rPr>
          <w:rFonts w:asciiTheme="minorHAnsi" w:eastAsia="MS Mincho" w:hAnsiTheme="minorHAnsi" w:cstheme="minorHAnsi"/>
          <w:b/>
        </w:rPr>
      </w:pPr>
    </w:p>
    <w:p w14:paraId="2CE900CE" w14:textId="13D11D09" w:rsidR="006811FD" w:rsidRDefault="006811FD" w:rsidP="00942DD7">
      <w:pPr>
        <w:rPr>
          <w:rFonts w:asciiTheme="minorHAnsi" w:eastAsia="MS Mincho" w:hAnsiTheme="minorHAnsi" w:cstheme="minorHAnsi"/>
          <w:b/>
        </w:rPr>
      </w:pPr>
      <w:r>
        <w:rPr>
          <w:rFonts w:asciiTheme="minorHAnsi" w:eastAsia="MS Mincho" w:hAnsiTheme="minorHAnsi" w:cstheme="minorHAnsi"/>
          <w:b/>
        </w:rPr>
        <w:t xml:space="preserve">Will </w:t>
      </w:r>
      <w:r w:rsidRPr="006C6988">
        <w:rPr>
          <w:rFonts w:asciiTheme="minorHAnsi" w:eastAsia="MS Mincho" w:hAnsiTheme="minorHAnsi" w:cstheme="minorHAnsi"/>
          <w:b/>
        </w:rPr>
        <w:t>collective bargaining</w:t>
      </w:r>
      <w:r>
        <w:rPr>
          <w:rFonts w:asciiTheme="minorHAnsi" w:eastAsia="MS Mincho" w:hAnsiTheme="minorHAnsi" w:cstheme="minorHAnsi"/>
          <w:b/>
        </w:rPr>
        <w:t xml:space="preserve"> benefit future graduate students</w:t>
      </w:r>
      <w:r w:rsidRPr="006C6988">
        <w:rPr>
          <w:rFonts w:asciiTheme="minorHAnsi" w:eastAsia="MS Mincho" w:hAnsiTheme="minorHAnsi" w:cstheme="minorHAnsi"/>
          <w:b/>
        </w:rPr>
        <w:t xml:space="preserve">? </w:t>
      </w:r>
    </w:p>
    <w:p w14:paraId="3C3E9991" w14:textId="77777777" w:rsidR="006811FD" w:rsidRDefault="006811FD" w:rsidP="00942DD7">
      <w:pPr>
        <w:rPr>
          <w:rFonts w:asciiTheme="minorHAnsi" w:eastAsia="MS Mincho" w:hAnsiTheme="minorHAnsi" w:cstheme="minorHAnsi"/>
          <w:b/>
        </w:rPr>
      </w:pPr>
    </w:p>
    <w:p w14:paraId="5FDC8EF7" w14:textId="19921BF5" w:rsidR="002464EF" w:rsidRPr="006C6988" w:rsidRDefault="007F02F1" w:rsidP="002464EF">
      <w:pPr>
        <w:rPr>
          <w:rFonts w:asciiTheme="minorHAnsi" w:hAnsiTheme="minorHAnsi"/>
        </w:rPr>
      </w:pPr>
      <w:r w:rsidRPr="00DB6039">
        <w:rPr>
          <w:rFonts w:asciiTheme="minorHAnsi" w:hAnsiTheme="minorHAnsi"/>
        </w:rPr>
        <w:t>Bargaining takes a long time</w:t>
      </w:r>
      <w:r>
        <w:rPr>
          <w:rFonts w:asciiTheme="minorHAnsi" w:hAnsiTheme="minorHAnsi"/>
        </w:rPr>
        <w:t>, and s</w:t>
      </w:r>
      <w:r w:rsidRPr="00DB6039">
        <w:rPr>
          <w:rFonts w:asciiTheme="minorHAnsi" w:hAnsiTheme="minorHAnsi"/>
        </w:rPr>
        <w:t>t</w:t>
      </w:r>
      <w:r>
        <w:rPr>
          <w:rFonts w:asciiTheme="minorHAnsi" w:hAnsiTheme="minorHAnsi"/>
        </w:rPr>
        <w:t>able union management relations</w:t>
      </w:r>
      <w:r w:rsidRPr="00DB6039">
        <w:rPr>
          <w:rFonts w:asciiTheme="minorHAnsi" w:hAnsiTheme="minorHAnsi"/>
        </w:rPr>
        <w:t>h</w:t>
      </w:r>
      <w:r>
        <w:rPr>
          <w:rFonts w:asciiTheme="minorHAnsi" w:hAnsiTheme="minorHAnsi"/>
        </w:rPr>
        <w:t>i</w:t>
      </w:r>
      <w:r w:rsidRPr="00DB6039">
        <w:rPr>
          <w:rFonts w:asciiTheme="minorHAnsi" w:hAnsiTheme="minorHAnsi"/>
        </w:rPr>
        <w:t>ps are inherently impossible when the union relationship is inexperienced and entirely turns over every few years</w:t>
      </w:r>
      <w:r>
        <w:rPr>
          <w:rFonts w:asciiTheme="minorHAnsi" w:hAnsiTheme="minorHAnsi"/>
        </w:rPr>
        <w:t xml:space="preserve">. </w:t>
      </w:r>
      <w:r w:rsidR="002464EF" w:rsidRPr="006C6988">
        <w:rPr>
          <w:rFonts w:asciiTheme="minorHAnsi" w:hAnsiTheme="minorHAnsi"/>
        </w:rPr>
        <w:t>If collective bargaining were permitted, the students who might have supported the union membership</w:t>
      </w:r>
      <w:r>
        <w:rPr>
          <w:rFonts w:asciiTheme="minorHAnsi" w:hAnsiTheme="minorHAnsi"/>
        </w:rPr>
        <w:t xml:space="preserve"> </w:t>
      </w:r>
      <w:r w:rsidR="002464EF">
        <w:rPr>
          <w:rFonts w:asciiTheme="minorHAnsi" w:hAnsiTheme="minorHAnsi"/>
        </w:rPr>
        <w:t>will leave campus relatively</w:t>
      </w:r>
      <w:r w:rsidR="002464EF" w:rsidRPr="006C6988">
        <w:rPr>
          <w:rFonts w:asciiTheme="minorHAnsi" w:hAnsiTheme="minorHAnsi"/>
        </w:rPr>
        <w:t xml:space="preserve"> soon after any election is held.</w:t>
      </w:r>
      <w:r w:rsidRPr="007F02F1">
        <w:rPr>
          <w:rFonts w:asciiTheme="minorHAnsi" w:hAnsiTheme="minorHAnsi"/>
        </w:rPr>
        <w:t xml:space="preserve"> </w:t>
      </w:r>
      <w:r>
        <w:rPr>
          <w:rFonts w:asciiTheme="minorHAnsi" w:hAnsiTheme="minorHAnsi"/>
        </w:rPr>
        <w:t>A union will already be in place, and s</w:t>
      </w:r>
      <w:r w:rsidR="002464EF" w:rsidRPr="006C6988">
        <w:rPr>
          <w:rFonts w:asciiTheme="minorHAnsi" w:hAnsiTheme="minorHAnsi"/>
        </w:rPr>
        <w:t xml:space="preserve">tudents who come after will have no say in whether </w:t>
      </w:r>
      <w:r>
        <w:rPr>
          <w:rFonts w:asciiTheme="minorHAnsi" w:hAnsiTheme="minorHAnsi"/>
        </w:rPr>
        <w:t>it should exist</w:t>
      </w:r>
      <w:r w:rsidR="002464EF" w:rsidRPr="006C6988">
        <w:rPr>
          <w:rFonts w:asciiTheme="minorHAnsi" w:hAnsiTheme="minorHAnsi"/>
        </w:rPr>
        <w:t xml:space="preserve">. It will </w:t>
      </w:r>
      <w:r w:rsidRPr="007F02F1">
        <w:rPr>
          <w:rFonts w:asciiTheme="minorHAnsi" w:hAnsiTheme="minorHAnsi"/>
        </w:rPr>
        <w:t xml:space="preserve">be </w:t>
      </w:r>
      <w:r w:rsidR="002464EF" w:rsidRPr="006C6988">
        <w:rPr>
          <w:rFonts w:asciiTheme="minorHAnsi" w:hAnsiTheme="minorHAnsi"/>
        </w:rPr>
        <w:t>difficult to adjust or dislodge, which would be unfair to future generations of students. </w:t>
      </w:r>
    </w:p>
    <w:p w14:paraId="74292132" w14:textId="77777777" w:rsidR="002464EF" w:rsidRPr="002464EF" w:rsidRDefault="002464EF" w:rsidP="00942DD7">
      <w:pPr>
        <w:rPr>
          <w:rFonts w:asciiTheme="minorHAnsi" w:hAnsiTheme="minorHAnsi"/>
        </w:rPr>
      </w:pPr>
    </w:p>
    <w:p w14:paraId="41193EC3" w14:textId="0C7A86BF" w:rsidR="00E93C02" w:rsidRPr="006767E0" w:rsidRDefault="006811FD" w:rsidP="00942DD7">
      <w:pPr>
        <w:rPr>
          <w:rFonts w:asciiTheme="minorHAnsi" w:eastAsia="MS Mincho" w:hAnsiTheme="minorHAnsi" w:cstheme="minorHAnsi"/>
        </w:rPr>
      </w:pPr>
      <w:r w:rsidRPr="006C6988">
        <w:rPr>
          <w:rFonts w:asciiTheme="minorHAnsi" w:hAnsiTheme="minorHAnsi"/>
        </w:rPr>
        <w:t>Unlike traditional unions</w:t>
      </w:r>
      <w:r>
        <w:rPr>
          <w:rFonts w:asciiTheme="minorHAnsi" w:hAnsiTheme="minorHAnsi"/>
        </w:rPr>
        <w:t xml:space="preserve"> that depend on longevity for ongoing success</w:t>
      </w:r>
      <w:r w:rsidRPr="006C6988">
        <w:rPr>
          <w:rFonts w:asciiTheme="minorHAnsi" w:hAnsiTheme="minorHAnsi"/>
        </w:rPr>
        <w:t xml:space="preserve">, future generations of </w:t>
      </w:r>
      <w:r w:rsidR="007F02F1">
        <w:rPr>
          <w:rFonts w:asciiTheme="minorHAnsi" w:hAnsiTheme="minorHAnsi"/>
        </w:rPr>
        <w:t>GAs</w:t>
      </w:r>
      <w:r w:rsidRPr="006C6988">
        <w:rPr>
          <w:rFonts w:asciiTheme="minorHAnsi" w:hAnsiTheme="minorHAnsi"/>
        </w:rPr>
        <w:t xml:space="preserve"> will have none of the knowledge of past practices and bargaining history; they will lack knowledgeable shop stewards of long tenure, and they will not have the personal relationships, either with each other or the university, to engage in effective or efficient bargaining. This relative inexperience will operate to the detriment of students and the university alike. </w:t>
      </w:r>
    </w:p>
    <w:p w14:paraId="3749F3BF" w14:textId="77777777" w:rsidR="006767E0" w:rsidRDefault="006767E0" w:rsidP="00942DD7">
      <w:pPr>
        <w:rPr>
          <w:rFonts w:asciiTheme="minorHAnsi" w:eastAsia="MS Mincho" w:hAnsiTheme="minorHAnsi" w:cstheme="minorHAnsi"/>
          <w:b/>
          <w:bCs/>
        </w:rPr>
      </w:pPr>
    </w:p>
    <w:p w14:paraId="30743930" w14:textId="6F94B754" w:rsidR="008F1733" w:rsidRPr="008A17FB" w:rsidRDefault="008F1733" w:rsidP="00942DD7">
      <w:pPr>
        <w:rPr>
          <w:rFonts w:asciiTheme="minorHAnsi" w:eastAsia="MS Mincho" w:hAnsiTheme="minorHAnsi" w:cstheme="minorHAnsi"/>
          <w:b/>
          <w:bCs/>
        </w:rPr>
      </w:pPr>
      <w:r w:rsidRPr="008A17FB">
        <w:rPr>
          <w:rFonts w:asciiTheme="minorHAnsi" w:eastAsia="MS Mincho" w:hAnsiTheme="minorHAnsi" w:cstheme="minorHAnsi"/>
          <w:b/>
          <w:bCs/>
        </w:rPr>
        <w:t>Would stipends increase with collective bargaining?</w:t>
      </w:r>
    </w:p>
    <w:p w14:paraId="7CE25D96" w14:textId="77777777" w:rsidR="008F1733" w:rsidRPr="00942DD7" w:rsidRDefault="008F1733" w:rsidP="00942DD7">
      <w:pPr>
        <w:rPr>
          <w:rFonts w:asciiTheme="minorHAnsi" w:eastAsia="MS Mincho" w:hAnsiTheme="minorHAnsi" w:cstheme="minorHAnsi"/>
        </w:rPr>
      </w:pPr>
    </w:p>
    <w:p w14:paraId="78BF71A6" w14:textId="5097F29B" w:rsidR="008A17FB" w:rsidRDefault="00465BAA" w:rsidP="00942DD7">
      <w:pPr>
        <w:rPr>
          <w:rFonts w:asciiTheme="minorHAnsi" w:eastAsia="MS Mincho" w:hAnsiTheme="minorHAnsi" w:cstheme="minorHAnsi"/>
        </w:rPr>
      </w:pPr>
      <w:r>
        <w:rPr>
          <w:rFonts w:asciiTheme="minorHAnsi" w:eastAsia="MS Mincho" w:hAnsiTheme="minorHAnsi" w:cstheme="minorHAnsi"/>
        </w:rPr>
        <w:t>If GAs were represented by a union, s</w:t>
      </w:r>
      <w:r w:rsidR="008A17FB">
        <w:rPr>
          <w:rFonts w:asciiTheme="minorHAnsi" w:eastAsia="MS Mincho" w:hAnsiTheme="minorHAnsi" w:cstheme="minorHAnsi"/>
        </w:rPr>
        <w:t xml:space="preserve">tipends and benefits would be determined by a contract negotiated between the union and the university.  If stipends and benefits increase, but State funding does not increase </w:t>
      </w:r>
      <w:r>
        <w:rPr>
          <w:rFonts w:asciiTheme="minorHAnsi" w:eastAsia="MS Mincho" w:hAnsiTheme="minorHAnsi" w:cstheme="minorHAnsi"/>
        </w:rPr>
        <w:t>proportionately</w:t>
      </w:r>
      <w:r w:rsidR="008A17FB">
        <w:rPr>
          <w:rFonts w:asciiTheme="minorHAnsi" w:eastAsia="MS Mincho" w:hAnsiTheme="minorHAnsi" w:cstheme="minorHAnsi"/>
        </w:rPr>
        <w:t xml:space="preserve">, the number of graduate assistantships would </w:t>
      </w:r>
      <w:r w:rsidR="004E2CD6">
        <w:rPr>
          <w:rFonts w:asciiTheme="minorHAnsi" w:eastAsia="MS Mincho" w:hAnsiTheme="minorHAnsi" w:cstheme="minorHAnsi"/>
        </w:rPr>
        <w:t xml:space="preserve">likely </w:t>
      </w:r>
      <w:r w:rsidR="008A17FB">
        <w:rPr>
          <w:rFonts w:asciiTheme="minorHAnsi" w:eastAsia="MS Mincho" w:hAnsiTheme="minorHAnsi" w:cstheme="minorHAnsi"/>
        </w:rPr>
        <w:t>be reduced</w:t>
      </w:r>
      <w:r w:rsidR="004E2CD6">
        <w:rPr>
          <w:rFonts w:asciiTheme="minorHAnsi" w:eastAsia="MS Mincho" w:hAnsiTheme="minorHAnsi" w:cstheme="minorHAnsi"/>
        </w:rPr>
        <w:t>, supporting fewer students</w:t>
      </w:r>
      <w:r w:rsidR="008A17FB">
        <w:rPr>
          <w:rFonts w:asciiTheme="minorHAnsi" w:eastAsia="MS Mincho" w:hAnsiTheme="minorHAnsi" w:cstheme="minorHAnsi"/>
        </w:rPr>
        <w:t>.</w:t>
      </w:r>
      <w:r w:rsidR="00CB0BC6">
        <w:rPr>
          <w:rFonts w:asciiTheme="minorHAnsi" w:eastAsia="MS Mincho" w:hAnsiTheme="minorHAnsi" w:cstheme="minorHAnsi"/>
        </w:rPr>
        <w:t xml:space="preserve"> </w:t>
      </w:r>
      <w:r w:rsidR="00B55128">
        <w:rPr>
          <w:rFonts w:asciiTheme="minorHAnsi" w:eastAsia="MS Mincho" w:hAnsiTheme="minorHAnsi" w:cstheme="minorHAnsi"/>
        </w:rPr>
        <w:t>C</w:t>
      </w:r>
      <w:r w:rsidR="00CB0BC6">
        <w:rPr>
          <w:rFonts w:asciiTheme="minorHAnsi" w:eastAsia="MS Mincho" w:hAnsiTheme="minorHAnsi" w:cstheme="minorHAnsi"/>
        </w:rPr>
        <w:t xml:space="preserve">ollective bargaining could </w:t>
      </w:r>
      <w:r w:rsidR="004E2CD6">
        <w:rPr>
          <w:rFonts w:asciiTheme="minorHAnsi" w:eastAsia="MS Mincho" w:hAnsiTheme="minorHAnsi" w:cstheme="minorHAnsi"/>
        </w:rPr>
        <w:t xml:space="preserve">also </w:t>
      </w:r>
      <w:r w:rsidR="00CB0BC6">
        <w:rPr>
          <w:rFonts w:asciiTheme="minorHAnsi" w:eastAsia="MS Mincho" w:hAnsiTheme="minorHAnsi" w:cstheme="minorHAnsi"/>
        </w:rPr>
        <w:t>lead to additional taxes or other deductions that would reduce net compensation</w:t>
      </w:r>
      <w:r w:rsidR="00B55128">
        <w:rPr>
          <w:rFonts w:asciiTheme="minorHAnsi" w:eastAsia="MS Mincho" w:hAnsiTheme="minorHAnsi" w:cstheme="minorHAnsi"/>
        </w:rPr>
        <w:t xml:space="preserve"> (see below)</w:t>
      </w:r>
      <w:r w:rsidR="00CB0BC6">
        <w:rPr>
          <w:rFonts w:asciiTheme="minorHAnsi" w:eastAsia="MS Mincho" w:hAnsiTheme="minorHAnsi" w:cstheme="minorHAnsi"/>
        </w:rPr>
        <w:t>.</w:t>
      </w:r>
    </w:p>
    <w:p w14:paraId="1C812288" w14:textId="21167E78" w:rsidR="008A17FB" w:rsidRDefault="008A17FB" w:rsidP="00942DD7">
      <w:pPr>
        <w:rPr>
          <w:rFonts w:asciiTheme="minorHAnsi" w:eastAsia="MS Mincho" w:hAnsiTheme="minorHAnsi" w:cstheme="minorHAnsi"/>
        </w:rPr>
      </w:pPr>
    </w:p>
    <w:p w14:paraId="2AA18F3C" w14:textId="77777777" w:rsidR="006C6988" w:rsidRDefault="004E2CD6" w:rsidP="008A17FB">
      <w:pPr>
        <w:rPr>
          <w:rFonts w:asciiTheme="minorHAnsi" w:eastAsia="MS Mincho" w:hAnsiTheme="minorHAnsi" w:cstheme="minorHAnsi"/>
        </w:rPr>
      </w:pPr>
      <w:r>
        <w:rPr>
          <w:rFonts w:asciiTheme="minorHAnsi" w:eastAsia="MS Mincho" w:hAnsiTheme="minorHAnsi" w:cstheme="minorHAnsi"/>
        </w:rPr>
        <w:lastRenderedPageBreak/>
        <w:t>S</w:t>
      </w:r>
      <w:r w:rsidR="008A17FB" w:rsidRPr="008A17FB">
        <w:rPr>
          <w:rFonts w:asciiTheme="minorHAnsi" w:eastAsia="MS Mincho" w:hAnsiTheme="minorHAnsi" w:cstheme="minorHAnsi"/>
        </w:rPr>
        <w:t xml:space="preserve">tipends </w:t>
      </w:r>
      <w:r>
        <w:rPr>
          <w:rFonts w:asciiTheme="minorHAnsi" w:eastAsia="MS Mincho" w:hAnsiTheme="minorHAnsi" w:cstheme="minorHAnsi"/>
        </w:rPr>
        <w:t xml:space="preserve">currently </w:t>
      </w:r>
      <w:r w:rsidR="008A17FB">
        <w:rPr>
          <w:rFonts w:asciiTheme="minorHAnsi" w:eastAsia="MS Mincho" w:hAnsiTheme="minorHAnsi" w:cstheme="minorHAnsi"/>
        </w:rPr>
        <w:t xml:space="preserve">vary considerably </w:t>
      </w:r>
      <w:r w:rsidR="008A17FB" w:rsidRPr="008A17FB">
        <w:rPr>
          <w:rFonts w:asciiTheme="minorHAnsi" w:eastAsia="MS Mincho" w:hAnsiTheme="minorHAnsi" w:cstheme="minorHAnsi"/>
        </w:rPr>
        <w:t xml:space="preserve">by discipline. </w:t>
      </w:r>
      <w:r w:rsidR="0031011B">
        <w:rPr>
          <w:rFonts w:asciiTheme="minorHAnsi" w:eastAsia="MS Mincho" w:hAnsiTheme="minorHAnsi" w:cstheme="minorHAnsi"/>
        </w:rPr>
        <w:t>S</w:t>
      </w:r>
      <w:r w:rsidR="008A17FB" w:rsidRPr="008A17FB">
        <w:rPr>
          <w:rFonts w:asciiTheme="minorHAnsi" w:eastAsia="MS Mincho" w:hAnsiTheme="minorHAnsi" w:cstheme="minorHAnsi"/>
        </w:rPr>
        <w:t xml:space="preserve">ome departments offer stipends of more than $30,000 for the academic year </w:t>
      </w:r>
      <w:r w:rsidR="008D30DA">
        <w:rPr>
          <w:rFonts w:asciiTheme="minorHAnsi" w:eastAsia="MS Mincho" w:hAnsiTheme="minorHAnsi" w:cstheme="minorHAnsi"/>
        </w:rPr>
        <w:t xml:space="preserve">(20 hours/week for 9.5 months) </w:t>
      </w:r>
      <w:r w:rsidR="008A17FB" w:rsidRPr="008A17FB">
        <w:rPr>
          <w:rFonts w:asciiTheme="minorHAnsi" w:eastAsia="MS Mincho" w:hAnsiTheme="minorHAnsi" w:cstheme="minorHAnsi"/>
        </w:rPr>
        <w:t>and $40,000 for the full year</w:t>
      </w:r>
      <w:r w:rsidR="008D30DA">
        <w:rPr>
          <w:rFonts w:asciiTheme="minorHAnsi" w:eastAsia="MS Mincho" w:hAnsiTheme="minorHAnsi" w:cstheme="minorHAnsi"/>
        </w:rPr>
        <w:t xml:space="preserve"> (20 hours/week for 12 months)</w:t>
      </w:r>
      <w:r w:rsidR="008A17FB" w:rsidRPr="008A17FB">
        <w:rPr>
          <w:rFonts w:asciiTheme="minorHAnsi" w:eastAsia="MS Mincho" w:hAnsiTheme="minorHAnsi" w:cstheme="minorHAnsi"/>
        </w:rPr>
        <w:t>. A</w:t>
      </w:r>
      <w:r w:rsidR="001D7451">
        <w:rPr>
          <w:rFonts w:asciiTheme="minorHAnsi" w:eastAsia="MS Mincho" w:hAnsiTheme="minorHAnsi" w:cstheme="minorHAnsi"/>
        </w:rPr>
        <w:t xml:space="preserve">t some peer institutions, </w:t>
      </w:r>
      <w:r w:rsidR="008A17FB" w:rsidRPr="008A17FB">
        <w:rPr>
          <w:rFonts w:asciiTheme="minorHAnsi" w:eastAsia="MS Mincho" w:hAnsiTheme="minorHAnsi" w:cstheme="minorHAnsi"/>
        </w:rPr>
        <w:t>collective bargaining result</w:t>
      </w:r>
      <w:r w:rsidR="001D7451">
        <w:rPr>
          <w:rFonts w:asciiTheme="minorHAnsi" w:eastAsia="MS Mincho" w:hAnsiTheme="minorHAnsi" w:cstheme="minorHAnsi"/>
        </w:rPr>
        <w:t>ed</w:t>
      </w:r>
      <w:r w:rsidR="008A17FB" w:rsidRPr="008A17FB">
        <w:rPr>
          <w:rFonts w:asciiTheme="minorHAnsi" w:eastAsia="MS Mincho" w:hAnsiTheme="minorHAnsi" w:cstheme="minorHAnsi"/>
        </w:rPr>
        <w:t xml:space="preserve"> in uniform stipend levels</w:t>
      </w:r>
      <w:r w:rsidR="00465BAA">
        <w:rPr>
          <w:rFonts w:asciiTheme="minorHAnsi" w:eastAsia="MS Mincho" w:hAnsiTheme="minorHAnsi" w:cstheme="minorHAnsi"/>
        </w:rPr>
        <w:t xml:space="preserve"> across </w:t>
      </w:r>
      <w:r w:rsidR="003308CF">
        <w:rPr>
          <w:rFonts w:asciiTheme="minorHAnsi" w:eastAsia="MS Mincho" w:hAnsiTheme="minorHAnsi" w:cstheme="minorHAnsi"/>
        </w:rPr>
        <w:t>departments</w:t>
      </w:r>
      <w:r w:rsidR="008A17FB" w:rsidRPr="008A17FB">
        <w:rPr>
          <w:rFonts w:asciiTheme="minorHAnsi" w:eastAsia="MS Mincho" w:hAnsiTheme="minorHAnsi" w:cstheme="minorHAnsi"/>
        </w:rPr>
        <w:t xml:space="preserve">. Bringing all stipends to </w:t>
      </w:r>
      <w:r w:rsidR="00465BAA">
        <w:rPr>
          <w:rFonts w:asciiTheme="minorHAnsi" w:eastAsia="MS Mincho" w:hAnsiTheme="minorHAnsi" w:cstheme="minorHAnsi"/>
        </w:rPr>
        <w:t xml:space="preserve">a </w:t>
      </w:r>
      <w:r w:rsidR="008A17FB" w:rsidRPr="008A17FB">
        <w:rPr>
          <w:rFonts w:asciiTheme="minorHAnsi" w:eastAsia="MS Mincho" w:hAnsiTheme="minorHAnsi" w:cstheme="minorHAnsi"/>
        </w:rPr>
        <w:t>high</w:t>
      </w:r>
      <w:r w:rsidR="00465BAA">
        <w:rPr>
          <w:rFonts w:asciiTheme="minorHAnsi" w:eastAsia="MS Mincho" w:hAnsiTheme="minorHAnsi" w:cstheme="minorHAnsi"/>
        </w:rPr>
        <w:t xml:space="preserve"> </w:t>
      </w:r>
      <w:r w:rsidR="008A17FB" w:rsidRPr="008A17FB">
        <w:rPr>
          <w:rFonts w:asciiTheme="minorHAnsi" w:eastAsia="MS Mincho" w:hAnsiTheme="minorHAnsi" w:cstheme="minorHAnsi"/>
        </w:rPr>
        <w:t xml:space="preserve">level would </w:t>
      </w:r>
      <w:r w:rsidR="0031011B">
        <w:rPr>
          <w:rFonts w:asciiTheme="minorHAnsi" w:eastAsia="MS Mincho" w:hAnsiTheme="minorHAnsi" w:cstheme="minorHAnsi"/>
        </w:rPr>
        <w:t>result in very large cost increases</w:t>
      </w:r>
      <w:r w:rsidR="00465BAA">
        <w:rPr>
          <w:rFonts w:asciiTheme="minorHAnsi" w:eastAsia="MS Mincho" w:hAnsiTheme="minorHAnsi" w:cstheme="minorHAnsi"/>
        </w:rPr>
        <w:t xml:space="preserve"> for </w:t>
      </w:r>
      <w:r w:rsidR="00CB0BC6">
        <w:rPr>
          <w:rFonts w:asciiTheme="minorHAnsi" w:eastAsia="MS Mincho" w:hAnsiTheme="minorHAnsi" w:cstheme="minorHAnsi"/>
        </w:rPr>
        <w:t xml:space="preserve">some </w:t>
      </w:r>
      <w:r w:rsidR="00465BAA">
        <w:rPr>
          <w:rFonts w:asciiTheme="minorHAnsi" w:eastAsia="MS Mincho" w:hAnsiTheme="minorHAnsi" w:cstheme="minorHAnsi"/>
        </w:rPr>
        <w:t>departments</w:t>
      </w:r>
      <w:r w:rsidR="006811FD">
        <w:rPr>
          <w:rFonts w:asciiTheme="minorHAnsi" w:eastAsia="MS Mincho" w:hAnsiTheme="minorHAnsi" w:cstheme="minorHAnsi"/>
        </w:rPr>
        <w:t>, and w</w:t>
      </w:r>
      <w:r w:rsidR="008A17FB" w:rsidRPr="008A17FB">
        <w:rPr>
          <w:rFonts w:asciiTheme="minorHAnsi" w:eastAsia="MS Mincho" w:hAnsiTheme="minorHAnsi" w:cstheme="minorHAnsi"/>
        </w:rPr>
        <w:t>ithout</w:t>
      </w:r>
      <w:r w:rsidR="001D7451">
        <w:rPr>
          <w:rFonts w:asciiTheme="minorHAnsi" w:eastAsia="MS Mincho" w:hAnsiTheme="minorHAnsi" w:cstheme="minorHAnsi"/>
        </w:rPr>
        <w:t xml:space="preserve"> substantial</w:t>
      </w:r>
      <w:r w:rsidR="008A17FB" w:rsidRPr="008A17FB">
        <w:rPr>
          <w:rFonts w:asciiTheme="minorHAnsi" w:eastAsia="MS Mincho" w:hAnsiTheme="minorHAnsi" w:cstheme="minorHAnsi"/>
        </w:rPr>
        <w:t xml:space="preserve"> additional </w:t>
      </w:r>
      <w:r w:rsidR="0031011B">
        <w:rPr>
          <w:rFonts w:asciiTheme="minorHAnsi" w:eastAsia="MS Mincho" w:hAnsiTheme="minorHAnsi" w:cstheme="minorHAnsi"/>
        </w:rPr>
        <w:t xml:space="preserve">State </w:t>
      </w:r>
      <w:r w:rsidR="008A17FB" w:rsidRPr="008A17FB">
        <w:rPr>
          <w:rFonts w:asciiTheme="minorHAnsi" w:eastAsia="MS Mincho" w:hAnsiTheme="minorHAnsi" w:cstheme="minorHAnsi"/>
        </w:rPr>
        <w:t xml:space="preserve">funding, </w:t>
      </w:r>
      <w:r w:rsidR="00465BAA">
        <w:rPr>
          <w:rFonts w:asciiTheme="minorHAnsi" w:eastAsia="MS Mincho" w:hAnsiTheme="minorHAnsi" w:cstheme="minorHAnsi"/>
        </w:rPr>
        <w:t xml:space="preserve">those </w:t>
      </w:r>
      <w:r w:rsidR="008A17FB" w:rsidRPr="008A17FB">
        <w:rPr>
          <w:rFonts w:asciiTheme="minorHAnsi" w:eastAsia="MS Mincho" w:hAnsiTheme="minorHAnsi" w:cstheme="minorHAnsi"/>
        </w:rPr>
        <w:t xml:space="preserve">departments would be </w:t>
      </w:r>
      <w:r w:rsidR="008D30DA">
        <w:rPr>
          <w:rFonts w:asciiTheme="minorHAnsi" w:eastAsia="MS Mincho" w:hAnsiTheme="minorHAnsi" w:cstheme="minorHAnsi"/>
        </w:rPr>
        <w:t xml:space="preserve">forced </w:t>
      </w:r>
      <w:r w:rsidR="008A17FB" w:rsidRPr="008A17FB">
        <w:rPr>
          <w:rFonts w:asciiTheme="minorHAnsi" w:eastAsia="MS Mincho" w:hAnsiTheme="minorHAnsi" w:cstheme="minorHAnsi"/>
        </w:rPr>
        <w:t>to offer fewer assistantships</w:t>
      </w:r>
      <w:r w:rsidR="001D7451">
        <w:rPr>
          <w:rFonts w:asciiTheme="minorHAnsi" w:eastAsia="MS Mincho" w:hAnsiTheme="minorHAnsi" w:cstheme="minorHAnsi"/>
        </w:rPr>
        <w:t xml:space="preserve">. </w:t>
      </w:r>
      <w:r w:rsidR="0031011B">
        <w:rPr>
          <w:rFonts w:asciiTheme="minorHAnsi" w:eastAsia="MS Mincho" w:hAnsiTheme="minorHAnsi" w:cstheme="minorHAnsi"/>
        </w:rPr>
        <w:t>A contract that c</w:t>
      </w:r>
      <w:r w:rsidR="008A17FB" w:rsidRPr="008A17FB">
        <w:rPr>
          <w:rFonts w:asciiTheme="minorHAnsi" w:eastAsia="MS Mincho" w:hAnsiTheme="minorHAnsi" w:cstheme="minorHAnsi"/>
        </w:rPr>
        <w:t>app</w:t>
      </w:r>
      <w:r w:rsidR="0031011B">
        <w:rPr>
          <w:rFonts w:asciiTheme="minorHAnsi" w:eastAsia="MS Mincho" w:hAnsiTheme="minorHAnsi" w:cstheme="minorHAnsi"/>
        </w:rPr>
        <w:t>ed</w:t>
      </w:r>
      <w:r w:rsidR="008A17FB" w:rsidRPr="008A17FB">
        <w:rPr>
          <w:rFonts w:asciiTheme="minorHAnsi" w:eastAsia="MS Mincho" w:hAnsiTheme="minorHAnsi" w:cstheme="minorHAnsi"/>
        </w:rPr>
        <w:t xml:space="preserve"> stipends to limit disparities </w:t>
      </w:r>
      <w:r w:rsidR="00CB0BC6">
        <w:rPr>
          <w:rFonts w:asciiTheme="minorHAnsi" w:eastAsia="MS Mincho" w:hAnsiTheme="minorHAnsi" w:cstheme="minorHAnsi"/>
        </w:rPr>
        <w:t xml:space="preserve">across campus </w:t>
      </w:r>
      <w:r w:rsidR="008A17FB" w:rsidRPr="008A17FB">
        <w:rPr>
          <w:rFonts w:asciiTheme="minorHAnsi" w:eastAsia="MS Mincho" w:hAnsiTheme="minorHAnsi" w:cstheme="minorHAnsi"/>
        </w:rPr>
        <w:t xml:space="preserve">would undermine the ability of </w:t>
      </w:r>
      <w:r w:rsidR="00CB0BC6">
        <w:rPr>
          <w:rFonts w:asciiTheme="minorHAnsi" w:eastAsia="MS Mincho" w:hAnsiTheme="minorHAnsi" w:cstheme="minorHAnsi"/>
        </w:rPr>
        <w:t xml:space="preserve">some </w:t>
      </w:r>
      <w:r w:rsidR="008A17FB" w:rsidRPr="008A17FB">
        <w:rPr>
          <w:rFonts w:asciiTheme="minorHAnsi" w:eastAsia="MS Mincho" w:hAnsiTheme="minorHAnsi" w:cstheme="minorHAnsi"/>
        </w:rPr>
        <w:t xml:space="preserve">departments </w:t>
      </w:r>
      <w:r w:rsidR="00CB0BC6">
        <w:rPr>
          <w:rFonts w:asciiTheme="minorHAnsi" w:eastAsia="MS Mincho" w:hAnsiTheme="minorHAnsi" w:cstheme="minorHAnsi"/>
        </w:rPr>
        <w:t xml:space="preserve">to </w:t>
      </w:r>
      <w:r w:rsidR="008A17FB" w:rsidRPr="008A17FB">
        <w:rPr>
          <w:rFonts w:asciiTheme="minorHAnsi" w:eastAsia="MS Mincho" w:hAnsiTheme="minorHAnsi" w:cstheme="minorHAnsi"/>
        </w:rPr>
        <w:t>pay high</w:t>
      </w:r>
      <w:r w:rsidR="00CB0BC6">
        <w:rPr>
          <w:rFonts w:asciiTheme="minorHAnsi" w:eastAsia="MS Mincho" w:hAnsiTheme="minorHAnsi" w:cstheme="minorHAnsi"/>
        </w:rPr>
        <w:t>er</w:t>
      </w:r>
      <w:r w:rsidR="008A17FB" w:rsidRPr="008A17FB">
        <w:rPr>
          <w:rFonts w:asciiTheme="minorHAnsi" w:eastAsia="MS Mincho" w:hAnsiTheme="minorHAnsi" w:cstheme="minorHAnsi"/>
        </w:rPr>
        <w:t xml:space="preserve"> stipends to recruit and retain </w:t>
      </w:r>
      <w:r w:rsidR="003308CF">
        <w:rPr>
          <w:rFonts w:asciiTheme="minorHAnsi" w:eastAsia="MS Mincho" w:hAnsiTheme="minorHAnsi" w:cstheme="minorHAnsi"/>
        </w:rPr>
        <w:t xml:space="preserve">high caliber </w:t>
      </w:r>
      <w:r w:rsidR="008A17FB" w:rsidRPr="008A17FB">
        <w:rPr>
          <w:rFonts w:asciiTheme="minorHAnsi" w:eastAsia="MS Mincho" w:hAnsiTheme="minorHAnsi" w:cstheme="minorHAnsi"/>
        </w:rPr>
        <w:t>students</w:t>
      </w:r>
      <w:r w:rsidR="008D30DA">
        <w:rPr>
          <w:rFonts w:asciiTheme="minorHAnsi" w:eastAsia="MS Mincho" w:hAnsiTheme="minorHAnsi" w:cstheme="minorHAnsi"/>
        </w:rPr>
        <w:t xml:space="preserve"> in competitive fields</w:t>
      </w:r>
      <w:r w:rsidR="008A17FB" w:rsidRPr="008A17FB">
        <w:rPr>
          <w:rFonts w:asciiTheme="minorHAnsi" w:eastAsia="MS Mincho" w:hAnsiTheme="minorHAnsi" w:cstheme="minorHAnsi"/>
        </w:rPr>
        <w:t>. Either alternative would lead to a decline in the quality and quantity of research and scholarship produced by the University.</w:t>
      </w:r>
      <w:r w:rsidR="001D7451">
        <w:rPr>
          <w:rFonts w:asciiTheme="minorHAnsi" w:eastAsia="MS Mincho" w:hAnsiTheme="minorHAnsi" w:cstheme="minorHAnsi"/>
        </w:rPr>
        <w:t xml:space="preserve"> </w:t>
      </w:r>
    </w:p>
    <w:p w14:paraId="206D80C2" w14:textId="77777777" w:rsidR="006C6988" w:rsidRDefault="006C6988" w:rsidP="008A17FB">
      <w:pPr>
        <w:rPr>
          <w:rFonts w:asciiTheme="minorHAnsi" w:eastAsia="MS Mincho" w:hAnsiTheme="minorHAnsi" w:cstheme="minorHAnsi"/>
        </w:rPr>
      </w:pPr>
    </w:p>
    <w:p w14:paraId="51CCE02B" w14:textId="5BD024AB" w:rsidR="008A17FB" w:rsidRPr="006C6988" w:rsidRDefault="006C6988" w:rsidP="008A17FB">
      <w:pPr>
        <w:rPr>
          <w:rFonts w:asciiTheme="minorHAnsi" w:eastAsia="MS Mincho" w:hAnsiTheme="minorHAnsi" w:cstheme="minorHAnsi"/>
          <w:b/>
          <w:bCs/>
        </w:rPr>
      </w:pPr>
      <w:r w:rsidRPr="006C6988">
        <w:rPr>
          <w:rFonts w:asciiTheme="minorHAnsi" w:eastAsia="MS Mincho" w:hAnsiTheme="minorHAnsi" w:cstheme="minorHAnsi"/>
          <w:b/>
          <w:bCs/>
        </w:rPr>
        <w:t>Should graduate assistants receive a living wage?</w:t>
      </w:r>
      <w:r w:rsidR="001D7451" w:rsidRPr="006C6988">
        <w:rPr>
          <w:rFonts w:asciiTheme="minorHAnsi" w:eastAsia="MS Mincho" w:hAnsiTheme="minorHAnsi" w:cstheme="minorHAnsi"/>
          <w:b/>
          <w:bCs/>
        </w:rPr>
        <w:t xml:space="preserve"> </w:t>
      </w:r>
    </w:p>
    <w:p w14:paraId="76FE8ADF" w14:textId="41BE151C" w:rsidR="008A17FB" w:rsidRDefault="008A17FB" w:rsidP="00942DD7">
      <w:pPr>
        <w:rPr>
          <w:rFonts w:asciiTheme="minorHAnsi" w:eastAsia="MS Mincho" w:hAnsiTheme="minorHAnsi" w:cstheme="minorHAnsi"/>
        </w:rPr>
      </w:pPr>
    </w:p>
    <w:p w14:paraId="29234C48" w14:textId="2B61FC82" w:rsidR="00D747FB" w:rsidRDefault="006C6988" w:rsidP="00D747FB">
      <w:pPr>
        <w:rPr>
          <w:rFonts w:asciiTheme="minorHAnsi" w:eastAsia="MS Mincho" w:hAnsiTheme="minorHAnsi" w:cstheme="minorHAnsi"/>
        </w:rPr>
      </w:pPr>
      <w:r>
        <w:rPr>
          <w:rFonts w:asciiTheme="minorHAnsi" w:eastAsia="MS Mincho" w:hAnsiTheme="minorHAnsi" w:cstheme="minorHAnsi"/>
        </w:rPr>
        <w:t>Some have advocated for collective bargaining as a means to gain a “living wag</w:t>
      </w:r>
      <w:r w:rsidR="00D747FB">
        <w:rPr>
          <w:rFonts w:asciiTheme="minorHAnsi" w:eastAsia="MS Mincho" w:hAnsiTheme="minorHAnsi" w:cstheme="minorHAnsi"/>
        </w:rPr>
        <w:t xml:space="preserve">e” for graduate assistants. The </w:t>
      </w:r>
      <w:hyperlink r:id="rId8" w:history="1">
        <w:r w:rsidR="00D747FB" w:rsidRPr="00D747FB">
          <w:rPr>
            <w:rStyle w:val="Hyperlink"/>
            <w:rFonts w:asciiTheme="minorHAnsi" w:eastAsia="MS Mincho" w:hAnsiTheme="minorHAnsi" w:cstheme="minorHAnsi"/>
          </w:rPr>
          <w:t>MIT Living Wage Calculator</w:t>
        </w:r>
      </w:hyperlink>
      <w:r w:rsidR="00D747FB">
        <w:rPr>
          <w:rFonts w:asciiTheme="minorHAnsi" w:eastAsia="MS Mincho" w:hAnsiTheme="minorHAnsi" w:cstheme="minorHAnsi"/>
        </w:rPr>
        <w:t xml:space="preserve"> reports a </w:t>
      </w:r>
      <w:r w:rsidR="00D747FB" w:rsidRPr="00D747FB">
        <w:rPr>
          <w:rFonts w:asciiTheme="minorHAnsi" w:eastAsia="MS Mincho" w:hAnsiTheme="minorHAnsi" w:cstheme="minorHAnsi"/>
        </w:rPr>
        <w:t xml:space="preserve">living wage </w:t>
      </w:r>
      <w:r w:rsidR="00D747FB">
        <w:rPr>
          <w:rFonts w:asciiTheme="minorHAnsi" w:eastAsia="MS Mincho" w:hAnsiTheme="minorHAnsi" w:cstheme="minorHAnsi"/>
        </w:rPr>
        <w:t xml:space="preserve">of $17.54 as </w:t>
      </w:r>
      <w:r w:rsidR="00D747FB" w:rsidRPr="00D747FB">
        <w:rPr>
          <w:rFonts w:asciiTheme="minorHAnsi" w:eastAsia="MS Mincho" w:hAnsiTheme="minorHAnsi" w:cstheme="minorHAnsi"/>
        </w:rPr>
        <w:t>the hourly rate that an </w:t>
      </w:r>
      <w:r w:rsidR="00D747FB">
        <w:rPr>
          <w:rFonts w:asciiTheme="minorHAnsi" w:eastAsia="MS Mincho" w:hAnsiTheme="minorHAnsi" w:cstheme="minorHAnsi"/>
        </w:rPr>
        <w:t xml:space="preserve">adult </w:t>
      </w:r>
      <w:r w:rsidR="00D747FB" w:rsidRPr="00D747FB">
        <w:rPr>
          <w:rFonts w:asciiTheme="minorHAnsi" w:eastAsia="MS Mincho" w:hAnsiTheme="minorHAnsi" w:cstheme="minorHAnsi"/>
        </w:rPr>
        <w:t>must earn to support his or herself</w:t>
      </w:r>
      <w:r w:rsidR="009219CD">
        <w:rPr>
          <w:rFonts w:asciiTheme="minorHAnsi" w:eastAsia="MS Mincho" w:hAnsiTheme="minorHAnsi" w:cstheme="minorHAnsi"/>
        </w:rPr>
        <w:t xml:space="preserve"> in </w:t>
      </w:r>
      <w:r w:rsidR="00EB00DB">
        <w:rPr>
          <w:rFonts w:asciiTheme="minorHAnsi" w:eastAsia="MS Mincho" w:hAnsiTheme="minorHAnsi" w:cstheme="minorHAnsi"/>
        </w:rPr>
        <w:t>Prince George’s County</w:t>
      </w:r>
      <w:r w:rsidR="00D747FB">
        <w:rPr>
          <w:rFonts w:asciiTheme="minorHAnsi" w:eastAsia="MS Mincho" w:hAnsiTheme="minorHAnsi" w:cstheme="minorHAnsi"/>
        </w:rPr>
        <w:t xml:space="preserve">, assuming </w:t>
      </w:r>
      <w:r w:rsidR="00D747FB" w:rsidRPr="00D747FB">
        <w:rPr>
          <w:rFonts w:asciiTheme="minorHAnsi" w:eastAsia="MS Mincho" w:hAnsiTheme="minorHAnsi" w:cstheme="minorHAnsi"/>
        </w:rPr>
        <w:t xml:space="preserve">full-time </w:t>
      </w:r>
      <w:r w:rsidR="00EB00DB">
        <w:rPr>
          <w:rFonts w:asciiTheme="minorHAnsi" w:eastAsia="MS Mincho" w:hAnsiTheme="minorHAnsi" w:cstheme="minorHAnsi"/>
        </w:rPr>
        <w:t xml:space="preserve">work </w:t>
      </w:r>
      <w:r w:rsidR="00D747FB" w:rsidRPr="00D747FB">
        <w:rPr>
          <w:rFonts w:asciiTheme="minorHAnsi" w:eastAsia="MS Mincho" w:hAnsiTheme="minorHAnsi" w:cstheme="minorHAnsi"/>
        </w:rPr>
        <w:t xml:space="preserve">(2080 hours per year). </w:t>
      </w:r>
      <w:r w:rsidR="00D747FB">
        <w:rPr>
          <w:rFonts w:asciiTheme="minorHAnsi" w:eastAsia="MS Mincho" w:hAnsiTheme="minorHAnsi" w:cstheme="minorHAnsi"/>
        </w:rPr>
        <w:t xml:space="preserve">Although this </w:t>
      </w:r>
      <w:r w:rsidR="00EB00DB">
        <w:rPr>
          <w:rFonts w:asciiTheme="minorHAnsi" w:eastAsia="MS Mincho" w:hAnsiTheme="minorHAnsi" w:cstheme="minorHAnsi"/>
        </w:rPr>
        <w:t>equals</w:t>
      </w:r>
      <w:r w:rsidR="00D747FB">
        <w:rPr>
          <w:rFonts w:asciiTheme="minorHAnsi" w:eastAsia="MS Mincho" w:hAnsiTheme="minorHAnsi" w:cstheme="minorHAnsi"/>
        </w:rPr>
        <w:t xml:space="preserve"> $36,483 per year, applying this to a GA who performs duties for only 20 hours per week for only 9 or 9.5 months per year is highly questionable.  The </w:t>
      </w:r>
      <w:r w:rsidR="00EB00DB">
        <w:rPr>
          <w:rFonts w:asciiTheme="minorHAnsi" w:eastAsia="MS Mincho" w:hAnsiTheme="minorHAnsi" w:cstheme="minorHAnsi"/>
        </w:rPr>
        <w:t xml:space="preserve">current </w:t>
      </w:r>
      <w:r w:rsidR="00D747FB">
        <w:rPr>
          <w:rFonts w:asciiTheme="minorHAnsi" w:eastAsia="MS Mincho" w:hAnsiTheme="minorHAnsi" w:cstheme="minorHAnsi"/>
        </w:rPr>
        <w:t xml:space="preserve">average GA stipend </w:t>
      </w:r>
      <w:r w:rsidR="00EB00DB">
        <w:rPr>
          <w:rFonts w:asciiTheme="minorHAnsi" w:eastAsia="MS Mincho" w:hAnsiTheme="minorHAnsi" w:cstheme="minorHAnsi"/>
        </w:rPr>
        <w:t xml:space="preserve">($21,135 per academic year) </w:t>
      </w:r>
      <w:r w:rsidR="00D747FB">
        <w:rPr>
          <w:rFonts w:asciiTheme="minorHAnsi" w:eastAsia="MS Mincho" w:hAnsiTheme="minorHAnsi" w:cstheme="minorHAnsi"/>
        </w:rPr>
        <w:t xml:space="preserve">is equivalent to </w:t>
      </w:r>
      <w:r w:rsidR="00EB00DB">
        <w:rPr>
          <w:rFonts w:asciiTheme="minorHAnsi" w:eastAsia="MS Mincho" w:hAnsiTheme="minorHAnsi" w:cstheme="minorHAnsi"/>
        </w:rPr>
        <w:t xml:space="preserve">about </w:t>
      </w:r>
      <w:r w:rsidR="00D747FB">
        <w:rPr>
          <w:rFonts w:asciiTheme="minorHAnsi" w:eastAsia="MS Mincho" w:hAnsiTheme="minorHAnsi" w:cstheme="minorHAnsi"/>
        </w:rPr>
        <w:t xml:space="preserve">$30 per hour, which is well above the living wage </w:t>
      </w:r>
      <w:r w:rsidR="009219CD">
        <w:rPr>
          <w:rFonts w:asciiTheme="minorHAnsi" w:eastAsia="MS Mincho" w:hAnsiTheme="minorHAnsi" w:cstheme="minorHAnsi"/>
        </w:rPr>
        <w:t xml:space="preserve">hourly </w:t>
      </w:r>
      <w:r w:rsidR="00D747FB">
        <w:rPr>
          <w:rFonts w:asciiTheme="minorHAnsi" w:eastAsia="MS Mincho" w:hAnsiTheme="minorHAnsi" w:cstheme="minorHAnsi"/>
        </w:rPr>
        <w:t xml:space="preserve">rate.  </w:t>
      </w:r>
    </w:p>
    <w:p w14:paraId="2061DF23" w14:textId="65B9FD81" w:rsidR="00D747FB" w:rsidRDefault="00D747FB" w:rsidP="00D747FB">
      <w:pPr>
        <w:rPr>
          <w:rFonts w:asciiTheme="minorHAnsi" w:eastAsia="MS Mincho" w:hAnsiTheme="minorHAnsi" w:cstheme="minorHAnsi"/>
        </w:rPr>
      </w:pPr>
    </w:p>
    <w:p w14:paraId="343CBBB3" w14:textId="727B77DD" w:rsidR="006C6988" w:rsidRDefault="00291738" w:rsidP="00942DD7">
      <w:pPr>
        <w:rPr>
          <w:rFonts w:asciiTheme="minorHAnsi" w:eastAsia="MS Mincho" w:hAnsiTheme="minorHAnsi" w:cstheme="minorHAnsi"/>
        </w:rPr>
      </w:pPr>
      <w:r>
        <w:rPr>
          <w:rFonts w:asciiTheme="minorHAnsi" w:eastAsia="MS Mincho" w:hAnsiTheme="minorHAnsi" w:cstheme="minorHAnsi"/>
        </w:rPr>
        <w:t xml:space="preserve">Setting aside the issue of whether </w:t>
      </w:r>
      <w:r w:rsidR="00EB00DB">
        <w:rPr>
          <w:rFonts w:asciiTheme="minorHAnsi" w:eastAsia="MS Mincho" w:hAnsiTheme="minorHAnsi" w:cstheme="minorHAnsi"/>
        </w:rPr>
        <w:t xml:space="preserve">the </w:t>
      </w:r>
      <w:r>
        <w:rPr>
          <w:rFonts w:asciiTheme="minorHAnsi" w:eastAsia="MS Mincho" w:hAnsiTheme="minorHAnsi" w:cstheme="minorHAnsi"/>
        </w:rPr>
        <w:t xml:space="preserve">living wage is </w:t>
      </w:r>
      <w:r w:rsidR="00EB00DB">
        <w:rPr>
          <w:rFonts w:asciiTheme="minorHAnsi" w:eastAsia="MS Mincho" w:hAnsiTheme="minorHAnsi" w:cstheme="minorHAnsi"/>
        </w:rPr>
        <w:t xml:space="preserve">an </w:t>
      </w:r>
      <w:r>
        <w:rPr>
          <w:rFonts w:asciiTheme="minorHAnsi" w:eastAsia="MS Mincho" w:hAnsiTheme="minorHAnsi" w:cstheme="minorHAnsi"/>
        </w:rPr>
        <w:t>appropriate</w:t>
      </w:r>
      <w:r w:rsidR="00EB00DB">
        <w:rPr>
          <w:rFonts w:asciiTheme="minorHAnsi" w:eastAsia="MS Mincho" w:hAnsiTheme="minorHAnsi" w:cstheme="minorHAnsi"/>
        </w:rPr>
        <w:t xml:space="preserve"> standard</w:t>
      </w:r>
      <w:r>
        <w:rPr>
          <w:rFonts w:asciiTheme="minorHAnsi" w:eastAsia="MS Mincho" w:hAnsiTheme="minorHAnsi" w:cstheme="minorHAnsi"/>
        </w:rPr>
        <w:t>, raising stipends to th</w:t>
      </w:r>
      <w:r w:rsidR="00EB00DB">
        <w:rPr>
          <w:rFonts w:asciiTheme="minorHAnsi" w:eastAsia="MS Mincho" w:hAnsiTheme="minorHAnsi" w:cstheme="minorHAnsi"/>
        </w:rPr>
        <w:t>at</w:t>
      </w:r>
      <w:r>
        <w:rPr>
          <w:rFonts w:asciiTheme="minorHAnsi" w:eastAsia="MS Mincho" w:hAnsiTheme="minorHAnsi" w:cstheme="minorHAnsi"/>
        </w:rPr>
        <w:t xml:space="preserve"> level would represent a 73 percent increase in GA expenditures.  </w:t>
      </w:r>
      <w:r w:rsidR="00EB00DB">
        <w:rPr>
          <w:rFonts w:asciiTheme="minorHAnsi" w:eastAsia="MS Mincho" w:hAnsiTheme="minorHAnsi" w:cstheme="minorHAnsi"/>
        </w:rPr>
        <w:t>T</w:t>
      </w:r>
      <w:r w:rsidR="003A67CA">
        <w:rPr>
          <w:rFonts w:asciiTheme="minorHAnsi" w:eastAsia="MS Mincho" w:hAnsiTheme="minorHAnsi" w:cstheme="minorHAnsi"/>
        </w:rPr>
        <w:t xml:space="preserve">his would require an </w:t>
      </w:r>
      <w:r>
        <w:rPr>
          <w:rFonts w:asciiTheme="minorHAnsi" w:eastAsia="MS Mincho" w:hAnsiTheme="minorHAnsi" w:cstheme="minorHAnsi"/>
        </w:rPr>
        <w:t>increase about $60 million per year</w:t>
      </w:r>
      <w:r w:rsidR="00EB00DB">
        <w:rPr>
          <w:rFonts w:asciiTheme="minorHAnsi" w:eastAsia="MS Mincho" w:hAnsiTheme="minorHAnsi" w:cstheme="minorHAnsi"/>
        </w:rPr>
        <w:t xml:space="preserve"> in instructional expenditure, requiring </w:t>
      </w:r>
      <w:r w:rsidR="003A67CA">
        <w:rPr>
          <w:rFonts w:asciiTheme="minorHAnsi" w:eastAsia="MS Mincho" w:hAnsiTheme="minorHAnsi" w:cstheme="minorHAnsi"/>
        </w:rPr>
        <w:t xml:space="preserve">more </w:t>
      </w:r>
      <w:r>
        <w:rPr>
          <w:rFonts w:asciiTheme="minorHAnsi" w:eastAsia="MS Mincho" w:hAnsiTheme="minorHAnsi" w:cstheme="minorHAnsi"/>
        </w:rPr>
        <w:t xml:space="preserve">than </w:t>
      </w:r>
      <w:r w:rsidR="003A67CA">
        <w:rPr>
          <w:rFonts w:asciiTheme="minorHAnsi" w:eastAsia="MS Mincho" w:hAnsiTheme="minorHAnsi" w:cstheme="minorHAnsi"/>
        </w:rPr>
        <w:t xml:space="preserve">a </w:t>
      </w:r>
      <w:r>
        <w:rPr>
          <w:rFonts w:asciiTheme="minorHAnsi" w:eastAsia="MS Mincho" w:hAnsiTheme="minorHAnsi" w:cstheme="minorHAnsi"/>
        </w:rPr>
        <w:t>10 percent increase in State appropriation</w:t>
      </w:r>
      <w:r w:rsidR="00A83D2A">
        <w:rPr>
          <w:rFonts w:asciiTheme="minorHAnsi" w:eastAsia="MS Mincho" w:hAnsiTheme="minorHAnsi" w:cstheme="minorHAnsi"/>
        </w:rPr>
        <w:t>,</w:t>
      </w:r>
      <w:r w:rsidR="003A67CA">
        <w:rPr>
          <w:rFonts w:asciiTheme="minorHAnsi" w:eastAsia="MS Mincho" w:hAnsiTheme="minorHAnsi" w:cstheme="minorHAnsi"/>
        </w:rPr>
        <w:t xml:space="preserve"> </w:t>
      </w:r>
      <w:r>
        <w:rPr>
          <w:rFonts w:asciiTheme="minorHAnsi" w:eastAsia="MS Mincho" w:hAnsiTheme="minorHAnsi" w:cstheme="minorHAnsi"/>
        </w:rPr>
        <w:t xml:space="preserve">or a 10 percent increase in tuition.  </w:t>
      </w:r>
      <w:r w:rsidR="00D01C6C">
        <w:rPr>
          <w:rFonts w:asciiTheme="minorHAnsi" w:eastAsia="MS Mincho" w:hAnsiTheme="minorHAnsi" w:cstheme="minorHAnsi"/>
        </w:rPr>
        <w:t xml:space="preserve">In the likely case that </w:t>
      </w:r>
      <w:r>
        <w:rPr>
          <w:rFonts w:asciiTheme="minorHAnsi" w:eastAsia="MS Mincho" w:hAnsiTheme="minorHAnsi" w:cstheme="minorHAnsi"/>
        </w:rPr>
        <w:t xml:space="preserve">increases in State appropriation </w:t>
      </w:r>
      <w:r w:rsidR="00D01C6C">
        <w:rPr>
          <w:rFonts w:asciiTheme="minorHAnsi" w:eastAsia="MS Mincho" w:hAnsiTheme="minorHAnsi" w:cstheme="minorHAnsi"/>
        </w:rPr>
        <w:t>and/or tuition would not be forthcoming to cover this increase, the result would be a 40 percent decrease in the number of GA appointments—and a corresponding decrease in the size of PhD program enrollments.</w:t>
      </w:r>
    </w:p>
    <w:p w14:paraId="26BBBB85" w14:textId="0B15B669" w:rsidR="001F2C69" w:rsidRDefault="001F2C69" w:rsidP="00942DD7">
      <w:pPr>
        <w:rPr>
          <w:rFonts w:asciiTheme="minorHAnsi" w:eastAsia="MS Mincho" w:hAnsiTheme="minorHAnsi" w:cstheme="minorHAnsi"/>
        </w:rPr>
      </w:pPr>
    </w:p>
    <w:p w14:paraId="5B038C7F" w14:textId="3F02A7C7" w:rsidR="001F2C69" w:rsidRDefault="001F2C69" w:rsidP="00942DD7">
      <w:pPr>
        <w:rPr>
          <w:rFonts w:asciiTheme="minorHAnsi" w:eastAsia="MS Mincho" w:hAnsiTheme="minorHAnsi" w:cstheme="minorHAnsi"/>
        </w:rPr>
      </w:pPr>
      <w:r>
        <w:rPr>
          <w:rFonts w:asciiTheme="minorHAnsi" w:eastAsia="MS Mincho" w:hAnsiTheme="minorHAnsi" w:cstheme="minorHAnsi"/>
        </w:rPr>
        <w:t xml:space="preserve">The University uses cost of attendance (COA) as a guide when setting minimum stipend levels for both assistantships and fellowships.  </w:t>
      </w:r>
      <w:r w:rsidR="00590D76" w:rsidRPr="00590D76">
        <w:rPr>
          <w:rFonts w:asciiTheme="minorHAnsi" w:eastAsia="MS Mincho" w:hAnsiTheme="minorHAnsi" w:cstheme="minorHAnsi"/>
        </w:rPr>
        <w:t xml:space="preserve">The </w:t>
      </w:r>
      <w:r w:rsidR="00590D76">
        <w:rPr>
          <w:rFonts w:asciiTheme="minorHAnsi" w:eastAsia="MS Mincho" w:hAnsiTheme="minorHAnsi" w:cstheme="minorHAnsi"/>
        </w:rPr>
        <w:t xml:space="preserve">COA </w:t>
      </w:r>
      <w:r w:rsidR="00590D76" w:rsidRPr="00590D76">
        <w:rPr>
          <w:rFonts w:asciiTheme="minorHAnsi" w:eastAsia="MS Mincho" w:hAnsiTheme="minorHAnsi" w:cstheme="minorHAnsi"/>
        </w:rPr>
        <w:t xml:space="preserve">is calculated by the Office of Student Financial Aid according to federal guidelines; average costs for housing, food, and other expenses are estimated using surveys of current graduate students and other federal and local consumer survey data. </w:t>
      </w:r>
      <w:r w:rsidR="00590D76">
        <w:rPr>
          <w:rFonts w:asciiTheme="minorHAnsi" w:eastAsia="MS Mincho" w:hAnsiTheme="minorHAnsi" w:cstheme="minorHAnsi"/>
        </w:rPr>
        <w:t xml:space="preserve"> </w:t>
      </w:r>
      <w:r w:rsidR="00590D76" w:rsidRPr="00590D76">
        <w:rPr>
          <w:rFonts w:asciiTheme="minorHAnsi" w:eastAsia="MS Mincho" w:hAnsiTheme="minorHAnsi" w:cstheme="minorHAnsi"/>
        </w:rPr>
        <w:t>The Office of Student Financial Aid uses the COA to determine the maximum Federal Direct Loan eligibility for graduate students. Federal financial aid regulations allow eligible graduate students to borrow Federal Direct Loans with other financial assistance up to the COA annually. Most students with full GA appointments or a full fellowship have sufficient financial support to cover the annual COA</w:t>
      </w:r>
      <w:r w:rsidR="00590D76">
        <w:rPr>
          <w:rFonts w:asciiTheme="minorHAnsi" w:eastAsia="MS Mincho" w:hAnsiTheme="minorHAnsi" w:cstheme="minorHAnsi"/>
        </w:rPr>
        <w:t>,</w:t>
      </w:r>
      <w:r w:rsidR="00590D76" w:rsidRPr="00590D76">
        <w:rPr>
          <w:rFonts w:asciiTheme="minorHAnsi" w:eastAsia="MS Mincho" w:hAnsiTheme="minorHAnsi" w:cstheme="minorHAnsi"/>
        </w:rPr>
        <w:t xml:space="preserve"> eliminating the need to borrow the Federal Direct Loan.</w:t>
      </w:r>
      <w:r w:rsidR="00590D76">
        <w:rPr>
          <w:rFonts w:asciiTheme="minorHAnsi" w:eastAsia="MS Mincho" w:hAnsiTheme="minorHAnsi" w:cstheme="minorHAnsi"/>
        </w:rPr>
        <w:t xml:space="preserve">  </w:t>
      </w:r>
      <w:r w:rsidR="00670539">
        <w:rPr>
          <w:rFonts w:asciiTheme="minorHAnsi" w:eastAsia="MS Mincho" w:hAnsiTheme="minorHAnsi" w:cstheme="minorHAnsi"/>
        </w:rPr>
        <w:t>Viewed from this perspective, the GA stipend is more like financial aid than a wage.</w:t>
      </w:r>
      <w:r w:rsidR="00D65BAA">
        <w:rPr>
          <w:rFonts w:asciiTheme="minorHAnsi" w:eastAsia="MS Mincho" w:hAnsiTheme="minorHAnsi" w:cstheme="minorHAnsi"/>
        </w:rPr>
        <w:t xml:space="preserve">  This is underscored by the fact that PhD programs guarantee admitted students “full financial support” for some number of years, with fellowships (which require no work) considered interchangeable with assistantships.</w:t>
      </w:r>
    </w:p>
    <w:p w14:paraId="3759ADCD" w14:textId="77777777" w:rsidR="006C6988" w:rsidRDefault="006C6988" w:rsidP="00942DD7">
      <w:pPr>
        <w:rPr>
          <w:rFonts w:asciiTheme="minorHAnsi" w:eastAsia="MS Mincho" w:hAnsiTheme="minorHAnsi" w:cstheme="minorHAnsi"/>
        </w:rPr>
      </w:pPr>
    </w:p>
    <w:p w14:paraId="5845F8C1" w14:textId="0699349F" w:rsidR="0031011B" w:rsidRPr="0031011B" w:rsidRDefault="0031011B" w:rsidP="00855854">
      <w:pPr>
        <w:keepNext/>
        <w:keepLines/>
        <w:widowControl w:val="0"/>
        <w:rPr>
          <w:rFonts w:asciiTheme="minorHAnsi" w:eastAsia="MS Mincho" w:hAnsiTheme="minorHAnsi" w:cstheme="minorHAnsi"/>
          <w:b/>
          <w:bCs/>
        </w:rPr>
      </w:pPr>
      <w:r w:rsidRPr="0031011B">
        <w:rPr>
          <w:rFonts w:asciiTheme="minorHAnsi" w:eastAsia="MS Mincho" w:hAnsiTheme="minorHAnsi" w:cstheme="minorHAnsi"/>
          <w:b/>
          <w:bCs/>
        </w:rPr>
        <w:lastRenderedPageBreak/>
        <w:t>Would student</w:t>
      </w:r>
      <w:r w:rsidR="00465BAA">
        <w:rPr>
          <w:rFonts w:asciiTheme="minorHAnsi" w:eastAsia="MS Mincho" w:hAnsiTheme="minorHAnsi" w:cstheme="minorHAnsi"/>
          <w:b/>
          <w:bCs/>
        </w:rPr>
        <w:t>s</w:t>
      </w:r>
      <w:r w:rsidRPr="0031011B">
        <w:rPr>
          <w:rFonts w:asciiTheme="minorHAnsi" w:eastAsia="MS Mincho" w:hAnsiTheme="minorHAnsi" w:cstheme="minorHAnsi"/>
          <w:b/>
          <w:bCs/>
        </w:rPr>
        <w:t xml:space="preserve"> receive additional benefits with collective bargaining?</w:t>
      </w:r>
    </w:p>
    <w:p w14:paraId="2D921512" w14:textId="7947C021" w:rsidR="0031011B" w:rsidRDefault="0031011B" w:rsidP="00855854">
      <w:pPr>
        <w:keepNext/>
        <w:keepLines/>
        <w:widowControl w:val="0"/>
        <w:rPr>
          <w:rFonts w:asciiTheme="minorHAnsi" w:eastAsia="MS Mincho" w:hAnsiTheme="minorHAnsi" w:cstheme="minorHAnsi"/>
        </w:rPr>
      </w:pPr>
    </w:p>
    <w:p w14:paraId="01CA8A2F" w14:textId="3A4BFE8F" w:rsidR="00612CDD" w:rsidRDefault="00CB0BC6" w:rsidP="00855854">
      <w:pPr>
        <w:keepNext/>
        <w:keepLines/>
        <w:widowControl w:val="0"/>
        <w:rPr>
          <w:rFonts w:asciiTheme="minorHAnsi" w:eastAsia="MS Mincho" w:hAnsiTheme="minorHAnsi" w:cstheme="minorHAnsi"/>
        </w:rPr>
      </w:pPr>
      <w:r>
        <w:rPr>
          <w:rFonts w:asciiTheme="minorHAnsi" w:eastAsia="MS Mincho" w:hAnsiTheme="minorHAnsi" w:cstheme="minorHAnsi"/>
        </w:rPr>
        <w:t xml:space="preserve">GAs </w:t>
      </w:r>
      <w:r w:rsidR="0031011B">
        <w:rPr>
          <w:rFonts w:asciiTheme="minorHAnsi" w:eastAsia="MS Mincho" w:hAnsiTheme="minorHAnsi" w:cstheme="minorHAnsi"/>
        </w:rPr>
        <w:t>have access to the same health benefits as faculty and staff</w:t>
      </w:r>
      <w:r w:rsidR="000653B0">
        <w:rPr>
          <w:rFonts w:asciiTheme="minorHAnsi" w:eastAsia="MS Mincho" w:hAnsiTheme="minorHAnsi" w:cstheme="minorHAnsi"/>
        </w:rPr>
        <w:t>. Some students advocate</w:t>
      </w:r>
      <w:r>
        <w:rPr>
          <w:rFonts w:asciiTheme="minorHAnsi" w:eastAsia="MS Mincho" w:hAnsiTheme="minorHAnsi" w:cstheme="minorHAnsi"/>
        </w:rPr>
        <w:t xml:space="preserve"> </w:t>
      </w:r>
      <w:r w:rsidR="00612CDD">
        <w:rPr>
          <w:rFonts w:asciiTheme="minorHAnsi" w:eastAsia="MS Mincho" w:hAnsiTheme="minorHAnsi" w:cstheme="minorHAnsi"/>
        </w:rPr>
        <w:t xml:space="preserve">for collective bargaining as </w:t>
      </w:r>
      <w:r w:rsidR="006811FD">
        <w:rPr>
          <w:rFonts w:asciiTheme="minorHAnsi" w:eastAsia="MS Mincho" w:hAnsiTheme="minorHAnsi" w:cstheme="minorHAnsi"/>
        </w:rPr>
        <w:t>a way to</w:t>
      </w:r>
      <w:r w:rsidR="00612CDD">
        <w:rPr>
          <w:rFonts w:asciiTheme="minorHAnsi" w:eastAsia="MS Mincho" w:hAnsiTheme="minorHAnsi" w:cstheme="minorHAnsi"/>
        </w:rPr>
        <w:t xml:space="preserve"> </w:t>
      </w:r>
      <w:r w:rsidR="00164CFD">
        <w:rPr>
          <w:rFonts w:asciiTheme="minorHAnsi" w:eastAsia="MS Mincho" w:hAnsiTheme="minorHAnsi" w:cstheme="minorHAnsi"/>
        </w:rPr>
        <w:t xml:space="preserve">gain </w:t>
      </w:r>
      <w:r w:rsidR="000653B0">
        <w:rPr>
          <w:rFonts w:asciiTheme="minorHAnsi" w:eastAsia="MS Mincho" w:hAnsiTheme="minorHAnsi" w:cstheme="minorHAnsi"/>
        </w:rPr>
        <w:t xml:space="preserve">additional benefits, </w:t>
      </w:r>
      <w:r w:rsidR="00465BAA">
        <w:rPr>
          <w:rFonts w:asciiTheme="minorHAnsi" w:eastAsia="MS Mincho" w:hAnsiTheme="minorHAnsi" w:cstheme="minorHAnsi"/>
        </w:rPr>
        <w:t xml:space="preserve">such as </w:t>
      </w:r>
      <w:r w:rsidR="000653B0" w:rsidRPr="000653B0">
        <w:rPr>
          <w:rFonts w:asciiTheme="minorHAnsi" w:eastAsia="MS Mincho" w:hAnsiTheme="minorHAnsi" w:cstheme="minorHAnsi"/>
        </w:rPr>
        <w:t xml:space="preserve">legal contracts, </w:t>
      </w:r>
      <w:r w:rsidR="00612CDD">
        <w:rPr>
          <w:rFonts w:asciiTheme="minorHAnsi" w:eastAsia="MS Mincho" w:hAnsiTheme="minorHAnsi" w:cstheme="minorHAnsi"/>
        </w:rPr>
        <w:t xml:space="preserve">sick leave, paid vacation and holiday leave, </w:t>
      </w:r>
      <w:r w:rsidR="000653B0" w:rsidRPr="000653B0">
        <w:rPr>
          <w:rFonts w:asciiTheme="minorHAnsi" w:eastAsia="MS Mincho" w:hAnsiTheme="minorHAnsi" w:cstheme="minorHAnsi"/>
        </w:rPr>
        <w:t>social security</w:t>
      </w:r>
      <w:r w:rsidR="00465BAA">
        <w:rPr>
          <w:rFonts w:asciiTheme="minorHAnsi" w:eastAsia="MS Mincho" w:hAnsiTheme="minorHAnsi" w:cstheme="minorHAnsi"/>
        </w:rPr>
        <w:t xml:space="preserve"> and </w:t>
      </w:r>
      <w:r w:rsidR="000653B0">
        <w:rPr>
          <w:rFonts w:asciiTheme="minorHAnsi" w:eastAsia="MS Mincho" w:hAnsiTheme="minorHAnsi" w:cstheme="minorHAnsi"/>
        </w:rPr>
        <w:t>unemployment</w:t>
      </w:r>
      <w:r w:rsidR="00465BAA">
        <w:rPr>
          <w:rFonts w:asciiTheme="minorHAnsi" w:eastAsia="MS Mincho" w:hAnsiTheme="minorHAnsi" w:cstheme="minorHAnsi"/>
        </w:rPr>
        <w:t xml:space="preserve"> benefits</w:t>
      </w:r>
      <w:r w:rsidR="000653B0">
        <w:rPr>
          <w:rFonts w:asciiTheme="minorHAnsi" w:eastAsia="MS Mincho" w:hAnsiTheme="minorHAnsi" w:cstheme="minorHAnsi"/>
        </w:rPr>
        <w:t>,</w:t>
      </w:r>
      <w:r w:rsidR="00612CDD">
        <w:rPr>
          <w:rFonts w:asciiTheme="minorHAnsi" w:eastAsia="MS Mincho" w:hAnsiTheme="minorHAnsi" w:cstheme="minorHAnsi"/>
        </w:rPr>
        <w:t xml:space="preserve"> and other benefits that are available to University faculty and staff.  </w:t>
      </w:r>
    </w:p>
    <w:p w14:paraId="424E16B8" w14:textId="77777777" w:rsidR="00612CDD" w:rsidRDefault="00612CDD" w:rsidP="000653B0">
      <w:pPr>
        <w:widowControl w:val="0"/>
        <w:rPr>
          <w:rFonts w:asciiTheme="minorHAnsi" w:eastAsia="MS Mincho" w:hAnsiTheme="minorHAnsi" w:cstheme="minorHAnsi"/>
        </w:rPr>
      </w:pPr>
    </w:p>
    <w:p w14:paraId="469DF39A" w14:textId="6712B3D5" w:rsidR="006811FD" w:rsidRPr="006811FD" w:rsidRDefault="00CB0BC6" w:rsidP="000653B0">
      <w:pPr>
        <w:widowControl w:val="0"/>
        <w:rPr>
          <w:rFonts w:asciiTheme="minorHAnsi" w:eastAsia="MS Mincho" w:hAnsiTheme="minorHAnsi" w:cstheme="minorHAnsi"/>
        </w:rPr>
      </w:pPr>
      <w:r>
        <w:rPr>
          <w:rFonts w:asciiTheme="minorHAnsi" w:eastAsia="MS Mincho" w:hAnsiTheme="minorHAnsi" w:cstheme="minorHAnsi"/>
        </w:rPr>
        <w:t>GAs</w:t>
      </w:r>
      <w:r w:rsidR="00612CDD">
        <w:rPr>
          <w:rFonts w:asciiTheme="minorHAnsi" w:eastAsia="MS Mincho" w:hAnsiTheme="minorHAnsi" w:cstheme="minorHAnsi"/>
        </w:rPr>
        <w:t xml:space="preserve"> are </w:t>
      </w:r>
      <w:r w:rsidR="004E2CD6">
        <w:rPr>
          <w:rFonts w:asciiTheme="minorHAnsi" w:eastAsia="MS Mincho" w:hAnsiTheme="minorHAnsi" w:cstheme="minorHAnsi"/>
        </w:rPr>
        <w:t xml:space="preserve">currently </w:t>
      </w:r>
      <w:r w:rsidR="00612CDD">
        <w:rPr>
          <w:rFonts w:asciiTheme="minorHAnsi" w:eastAsia="MS Mincho" w:hAnsiTheme="minorHAnsi" w:cstheme="minorHAnsi"/>
        </w:rPr>
        <w:t xml:space="preserve">exempt from </w:t>
      </w:r>
      <w:r w:rsidR="00612CDD" w:rsidRPr="00612CDD">
        <w:rPr>
          <w:rFonts w:asciiTheme="minorHAnsi" w:eastAsia="MS Mincho" w:hAnsiTheme="minorHAnsi" w:cstheme="minorHAnsi"/>
        </w:rPr>
        <w:t>FICA (</w:t>
      </w:r>
      <w:r w:rsidR="00612CDD">
        <w:rPr>
          <w:rFonts w:asciiTheme="minorHAnsi" w:eastAsia="MS Mincho" w:hAnsiTheme="minorHAnsi" w:cstheme="minorHAnsi"/>
        </w:rPr>
        <w:t>Soc</w:t>
      </w:r>
      <w:r w:rsidR="00465BAA">
        <w:rPr>
          <w:rFonts w:asciiTheme="minorHAnsi" w:eastAsia="MS Mincho" w:hAnsiTheme="minorHAnsi" w:cstheme="minorHAnsi"/>
        </w:rPr>
        <w:t xml:space="preserve">ial </w:t>
      </w:r>
      <w:r w:rsidR="00612CDD">
        <w:rPr>
          <w:rFonts w:asciiTheme="minorHAnsi" w:eastAsia="MS Mincho" w:hAnsiTheme="minorHAnsi" w:cstheme="minorHAnsi"/>
        </w:rPr>
        <w:t xml:space="preserve">Security and </w:t>
      </w:r>
      <w:r w:rsidR="00612CDD" w:rsidRPr="00612CDD">
        <w:rPr>
          <w:rFonts w:asciiTheme="minorHAnsi" w:eastAsia="MS Mincho" w:hAnsiTheme="minorHAnsi" w:cstheme="minorHAnsi"/>
        </w:rPr>
        <w:t>Medicare</w:t>
      </w:r>
      <w:r w:rsidR="00612CDD">
        <w:rPr>
          <w:rFonts w:asciiTheme="minorHAnsi" w:eastAsia="MS Mincho" w:hAnsiTheme="minorHAnsi" w:cstheme="minorHAnsi"/>
        </w:rPr>
        <w:t xml:space="preserve">) tax because they do not meet the IRS definition of “professional employees.” </w:t>
      </w:r>
      <w:r w:rsidR="002B0D40">
        <w:rPr>
          <w:rFonts w:asciiTheme="minorHAnsi" w:eastAsia="MS Mincho" w:hAnsiTheme="minorHAnsi" w:cstheme="minorHAnsi"/>
        </w:rPr>
        <w:t xml:space="preserve">Providing </w:t>
      </w:r>
      <w:r w:rsidR="00612CDD">
        <w:rPr>
          <w:rFonts w:asciiTheme="minorHAnsi" w:eastAsia="MS Mincho" w:hAnsiTheme="minorHAnsi" w:cstheme="minorHAnsi"/>
        </w:rPr>
        <w:t>additional benefits could change this</w:t>
      </w:r>
      <w:r w:rsidR="00164CFD">
        <w:rPr>
          <w:rFonts w:asciiTheme="minorHAnsi" w:eastAsia="MS Mincho" w:hAnsiTheme="minorHAnsi" w:cstheme="minorHAnsi"/>
        </w:rPr>
        <w:t xml:space="preserve"> determination </w:t>
      </w:r>
      <w:r w:rsidR="00612CDD">
        <w:rPr>
          <w:rFonts w:asciiTheme="minorHAnsi" w:eastAsia="MS Mincho" w:hAnsiTheme="minorHAnsi" w:cstheme="minorHAnsi"/>
        </w:rPr>
        <w:t xml:space="preserve">and make </w:t>
      </w:r>
      <w:r>
        <w:rPr>
          <w:rFonts w:asciiTheme="minorHAnsi" w:eastAsia="MS Mincho" w:hAnsiTheme="minorHAnsi" w:cstheme="minorHAnsi"/>
        </w:rPr>
        <w:t xml:space="preserve">GAs </w:t>
      </w:r>
      <w:r w:rsidR="00612CDD">
        <w:rPr>
          <w:rFonts w:asciiTheme="minorHAnsi" w:eastAsia="MS Mincho" w:hAnsiTheme="minorHAnsi" w:cstheme="minorHAnsi"/>
        </w:rPr>
        <w:t>subject to FICA</w:t>
      </w:r>
      <w:r w:rsidR="004E2CD6">
        <w:rPr>
          <w:rFonts w:asciiTheme="minorHAnsi" w:eastAsia="MS Mincho" w:hAnsiTheme="minorHAnsi" w:cstheme="minorHAnsi"/>
        </w:rPr>
        <w:t>. T</w:t>
      </w:r>
      <w:r w:rsidR="00612CDD">
        <w:rPr>
          <w:rFonts w:asciiTheme="minorHAnsi" w:eastAsia="MS Mincho" w:hAnsiTheme="minorHAnsi" w:cstheme="minorHAnsi"/>
        </w:rPr>
        <w:t xml:space="preserve">he University would </w:t>
      </w:r>
      <w:r w:rsidR="004E2CD6">
        <w:rPr>
          <w:rFonts w:asciiTheme="minorHAnsi" w:eastAsia="MS Mincho" w:hAnsiTheme="minorHAnsi" w:cstheme="minorHAnsi"/>
        </w:rPr>
        <w:t xml:space="preserve">then </w:t>
      </w:r>
      <w:r w:rsidR="00612CDD">
        <w:rPr>
          <w:rFonts w:asciiTheme="minorHAnsi" w:eastAsia="MS Mincho" w:hAnsiTheme="minorHAnsi" w:cstheme="minorHAnsi"/>
        </w:rPr>
        <w:t xml:space="preserve">have to </w:t>
      </w:r>
      <w:r w:rsidR="00612CDD" w:rsidRPr="00612CDD">
        <w:rPr>
          <w:rFonts w:asciiTheme="minorHAnsi" w:eastAsia="MS Mincho" w:hAnsiTheme="minorHAnsi" w:cstheme="minorHAnsi"/>
        </w:rPr>
        <w:t>withhold</w:t>
      </w:r>
      <w:r w:rsidR="00612CDD">
        <w:rPr>
          <w:rFonts w:asciiTheme="minorHAnsi" w:eastAsia="MS Mincho" w:hAnsiTheme="minorHAnsi" w:cstheme="minorHAnsi"/>
        </w:rPr>
        <w:t xml:space="preserve"> </w:t>
      </w:r>
      <w:r w:rsidR="00612CDD" w:rsidRPr="00612CDD">
        <w:rPr>
          <w:rFonts w:asciiTheme="minorHAnsi" w:eastAsia="MS Mincho" w:hAnsiTheme="minorHAnsi" w:cstheme="minorHAnsi"/>
        </w:rPr>
        <w:t>7.65% from a</w:t>
      </w:r>
      <w:r w:rsidR="00612CDD">
        <w:rPr>
          <w:rFonts w:asciiTheme="minorHAnsi" w:eastAsia="MS Mincho" w:hAnsiTheme="minorHAnsi" w:cstheme="minorHAnsi"/>
        </w:rPr>
        <w:t xml:space="preserve"> GA’s </w:t>
      </w:r>
      <w:r w:rsidR="00612CDD" w:rsidRPr="00612CDD">
        <w:rPr>
          <w:rFonts w:asciiTheme="minorHAnsi" w:eastAsia="MS Mincho" w:hAnsiTheme="minorHAnsi" w:cstheme="minorHAnsi"/>
        </w:rPr>
        <w:t>taxable compensation and pay an equal employer's share.</w:t>
      </w:r>
      <w:r w:rsidR="00612CDD">
        <w:rPr>
          <w:rFonts w:asciiTheme="minorHAnsi" w:eastAsia="MS Mincho" w:hAnsiTheme="minorHAnsi" w:cstheme="minorHAnsi"/>
        </w:rPr>
        <w:t xml:space="preserve"> GAs might also </w:t>
      </w:r>
      <w:r w:rsidR="00164CFD">
        <w:rPr>
          <w:rFonts w:asciiTheme="minorHAnsi" w:eastAsia="MS Mincho" w:hAnsiTheme="minorHAnsi" w:cstheme="minorHAnsi"/>
        </w:rPr>
        <w:t xml:space="preserve">have </w:t>
      </w:r>
      <w:r w:rsidR="00612CDD">
        <w:rPr>
          <w:rFonts w:asciiTheme="minorHAnsi" w:eastAsia="MS Mincho" w:hAnsiTheme="minorHAnsi" w:cstheme="minorHAnsi"/>
        </w:rPr>
        <w:t>to pay</w:t>
      </w:r>
      <w:r w:rsidR="00164CFD">
        <w:rPr>
          <w:rFonts w:asciiTheme="minorHAnsi" w:eastAsia="MS Mincho" w:hAnsiTheme="minorHAnsi" w:cstheme="minorHAnsi"/>
        </w:rPr>
        <w:t xml:space="preserve"> </w:t>
      </w:r>
      <w:r w:rsidR="00612CDD">
        <w:rPr>
          <w:rFonts w:asciiTheme="minorHAnsi" w:eastAsia="MS Mincho" w:hAnsiTheme="minorHAnsi" w:cstheme="minorHAnsi"/>
        </w:rPr>
        <w:t>for unemployment insurance</w:t>
      </w:r>
      <w:r w:rsidR="001D7451">
        <w:rPr>
          <w:rFonts w:asciiTheme="minorHAnsi" w:eastAsia="MS Mincho" w:hAnsiTheme="minorHAnsi" w:cstheme="minorHAnsi"/>
        </w:rPr>
        <w:t xml:space="preserve">, and </w:t>
      </w:r>
      <w:r w:rsidR="00164CFD">
        <w:rPr>
          <w:rFonts w:asciiTheme="minorHAnsi" w:eastAsia="MS Mincho" w:hAnsiTheme="minorHAnsi" w:cstheme="minorHAnsi"/>
        </w:rPr>
        <w:t>dues</w:t>
      </w:r>
      <w:r w:rsidR="001D7451">
        <w:rPr>
          <w:rFonts w:asciiTheme="minorHAnsi" w:eastAsia="MS Mincho" w:hAnsiTheme="minorHAnsi" w:cstheme="minorHAnsi"/>
        </w:rPr>
        <w:t xml:space="preserve"> </w:t>
      </w:r>
      <w:r w:rsidR="009D783A">
        <w:rPr>
          <w:rFonts w:asciiTheme="minorHAnsi" w:eastAsia="MS Mincho" w:hAnsiTheme="minorHAnsi" w:cstheme="minorHAnsi"/>
        </w:rPr>
        <w:t xml:space="preserve">set by the union </w:t>
      </w:r>
      <w:r w:rsidR="001D7451">
        <w:rPr>
          <w:rFonts w:asciiTheme="minorHAnsi" w:eastAsia="MS Mincho" w:hAnsiTheme="minorHAnsi" w:cstheme="minorHAnsi"/>
        </w:rPr>
        <w:t>(</w:t>
      </w:r>
      <w:r w:rsidR="00164CFD">
        <w:rPr>
          <w:rFonts w:asciiTheme="minorHAnsi" w:eastAsia="MS Mincho" w:hAnsiTheme="minorHAnsi" w:cstheme="minorHAnsi"/>
        </w:rPr>
        <w:t xml:space="preserve">2% of compensation </w:t>
      </w:r>
      <w:r w:rsidR="0035157D">
        <w:rPr>
          <w:rFonts w:asciiTheme="minorHAnsi" w:eastAsia="MS Mincho" w:hAnsiTheme="minorHAnsi" w:cstheme="minorHAnsi"/>
        </w:rPr>
        <w:t>is standard</w:t>
      </w:r>
      <w:r w:rsidR="001D7451">
        <w:rPr>
          <w:rFonts w:asciiTheme="minorHAnsi" w:eastAsia="MS Mincho" w:hAnsiTheme="minorHAnsi" w:cstheme="minorHAnsi"/>
        </w:rPr>
        <w:t>)</w:t>
      </w:r>
      <w:r w:rsidR="00164CFD">
        <w:rPr>
          <w:rFonts w:asciiTheme="minorHAnsi" w:eastAsia="MS Mincho" w:hAnsiTheme="minorHAnsi" w:cstheme="minorHAnsi"/>
        </w:rPr>
        <w:t xml:space="preserve">.  </w:t>
      </w:r>
      <w:r w:rsidR="007F02F1">
        <w:rPr>
          <w:rFonts w:asciiTheme="minorHAnsi" w:eastAsia="MS Mincho" w:hAnsiTheme="minorHAnsi" w:cstheme="minorHAnsi"/>
        </w:rPr>
        <w:t>The</w:t>
      </w:r>
      <w:r w:rsidR="00164CFD">
        <w:rPr>
          <w:rFonts w:asciiTheme="minorHAnsi" w:eastAsia="MS Mincho" w:hAnsiTheme="minorHAnsi" w:cstheme="minorHAnsi"/>
        </w:rPr>
        <w:t xml:space="preserve"> cost of a GA </w:t>
      </w:r>
      <w:r w:rsidR="0035157D">
        <w:rPr>
          <w:rFonts w:asciiTheme="minorHAnsi" w:eastAsia="MS Mincho" w:hAnsiTheme="minorHAnsi" w:cstheme="minorHAnsi"/>
        </w:rPr>
        <w:t xml:space="preserve">to a department </w:t>
      </w:r>
      <w:r w:rsidR="00164CFD">
        <w:rPr>
          <w:rFonts w:asciiTheme="minorHAnsi" w:eastAsia="MS Mincho" w:hAnsiTheme="minorHAnsi" w:cstheme="minorHAnsi"/>
        </w:rPr>
        <w:t xml:space="preserve">could increase by </w:t>
      </w:r>
      <w:r w:rsidR="0035157D">
        <w:rPr>
          <w:rFonts w:asciiTheme="minorHAnsi" w:eastAsia="MS Mincho" w:hAnsiTheme="minorHAnsi" w:cstheme="minorHAnsi"/>
        </w:rPr>
        <w:t xml:space="preserve">more than </w:t>
      </w:r>
      <w:r w:rsidR="00164CFD">
        <w:rPr>
          <w:rFonts w:asciiTheme="minorHAnsi" w:eastAsia="MS Mincho" w:hAnsiTheme="minorHAnsi" w:cstheme="minorHAnsi"/>
        </w:rPr>
        <w:t xml:space="preserve">17% </w:t>
      </w:r>
      <w:r w:rsidR="007F02F1">
        <w:rPr>
          <w:rFonts w:asciiTheme="minorHAnsi" w:eastAsia="MS Mincho" w:hAnsiTheme="minorHAnsi" w:cstheme="minorHAnsi"/>
        </w:rPr>
        <w:t xml:space="preserve">in all, </w:t>
      </w:r>
      <w:r w:rsidR="00164CFD">
        <w:rPr>
          <w:rFonts w:asciiTheme="minorHAnsi" w:eastAsia="MS Mincho" w:hAnsiTheme="minorHAnsi" w:cstheme="minorHAnsi"/>
        </w:rPr>
        <w:t xml:space="preserve">without any increase in take-home </w:t>
      </w:r>
      <w:r w:rsidR="00B730E4">
        <w:rPr>
          <w:rFonts w:asciiTheme="minorHAnsi" w:eastAsia="MS Mincho" w:hAnsiTheme="minorHAnsi" w:cstheme="minorHAnsi"/>
        </w:rPr>
        <w:t xml:space="preserve">compensation </w:t>
      </w:r>
      <w:r w:rsidR="00164CFD">
        <w:rPr>
          <w:rFonts w:asciiTheme="minorHAnsi" w:eastAsia="MS Mincho" w:hAnsiTheme="minorHAnsi" w:cstheme="minorHAnsi"/>
        </w:rPr>
        <w:t xml:space="preserve">for the student. </w:t>
      </w:r>
      <w:r w:rsidR="00465BAA">
        <w:rPr>
          <w:rFonts w:asciiTheme="minorHAnsi" w:eastAsia="MS Mincho" w:hAnsiTheme="minorHAnsi" w:cstheme="minorHAnsi"/>
        </w:rPr>
        <w:t>Students whose duties are not related to teaching or research could be excluded</w:t>
      </w:r>
      <w:r w:rsidR="00FB5F82">
        <w:rPr>
          <w:rFonts w:asciiTheme="minorHAnsi" w:eastAsia="MS Mincho" w:hAnsiTheme="minorHAnsi" w:cstheme="minorHAnsi"/>
        </w:rPr>
        <w:t xml:space="preserve"> from GA appointments, or their tuition benefit could be subject to income tax.</w:t>
      </w:r>
    </w:p>
    <w:p w14:paraId="50A2BC3B" w14:textId="1DFD6D61" w:rsidR="0031011B" w:rsidRDefault="0031011B" w:rsidP="00F13098">
      <w:pPr>
        <w:widowControl w:val="0"/>
        <w:rPr>
          <w:rFonts w:asciiTheme="minorHAnsi" w:eastAsia="MS Mincho" w:hAnsiTheme="minorHAnsi" w:cstheme="minorHAnsi"/>
        </w:rPr>
      </w:pPr>
    </w:p>
    <w:p w14:paraId="638DEF90" w14:textId="4203E932" w:rsidR="0031011B" w:rsidRPr="00E93C02" w:rsidRDefault="003009CD" w:rsidP="00F13098">
      <w:pPr>
        <w:widowControl w:val="0"/>
        <w:rPr>
          <w:rFonts w:asciiTheme="minorHAnsi" w:eastAsia="MS Mincho" w:hAnsiTheme="minorHAnsi" w:cstheme="minorHAnsi"/>
          <w:b/>
          <w:bCs/>
        </w:rPr>
      </w:pPr>
      <w:r>
        <w:rPr>
          <w:rFonts w:asciiTheme="minorHAnsi" w:eastAsia="MS Mincho" w:hAnsiTheme="minorHAnsi" w:cstheme="minorHAnsi"/>
          <w:b/>
          <w:bCs/>
        </w:rPr>
        <w:t>Sh</w:t>
      </w:r>
      <w:r w:rsidR="00E93C02" w:rsidRPr="00E93C02">
        <w:rPr>
          <w:rFonts w:asciiTheme="minorHAnsi" w:eastAsia="MS Mincho" w:hAnsiTheme="minorHAnsi" w:cstheme="minorHAnsi"/>
          <w:b/>
          <w:bCs/>
        </w:rPr>
        <w:t xml:space="preserve">ould research assistantships be included?  </w:t>
      </w:r>
    </w:p>
    <w:p w14:paraId="5DBEF8A3" w14:textId="77777777" w:rsidR="00E93C02" w:rsidRDefault="00E93C02" w:rsidP="00F13098">
      <w:pPr>
        <w:widowControl w:val="0"/>
        <w:rPr>
          <w:rFonts w:asciiTheme="minorHAnsi" w:eastAsia="MS Mincho" w:hAnsiTheme="minorHAnsi" w:cstheme="minorHAnsi"/>
        </w:rPr>
      </w:pPr>
    </w:p>
    <w:p w14:paraId="6A550BE0" w14:textId="36FBA203" w:rsidR="00942DD7" w:rsidRDefault="00942DD7" w:rsidP="00F13098">
      <w:pPr>
        <w:widowControl w:val="0"/>
        <w:rPr>
          <w:rFonts w:asciiTheme="minorHAnsi" w:eastAsia="MS Mincho" w:hAnsiTheme="minorHAnsi" w:cstheme="minorHAnsi"/>
        </w:rPr>
      </w:pPr>
      <w:r w:rsidRPr="00942DD7">
        <w:rPr>
          <w:rFonts w:asciiTheme="minorHAnsi" w:eastAsia="MS Mincho" w:hAnsiTheme="minorHAnsi" w:cstheme="minorHAnsi"/>
        </w:rPr>
        <w:t>Research assistantships</w:t>
      </w:r>
      <w:r w:rsidR="00FA3088">
        <w:rPr>
          <w:rFonts w:asciiTheme="minorHAnsi" w:eastAsia="MS Mincho" w:hAnsiTheme="minorHAnsi" w:cstheme="minorHAnsi"/>
        </w:rPr>
        <w:t>, which are included in HB 2</w:t>
      </w:r>
      <w:r w:rsidR="00E93C02">
        <w:rPr>
          <w:rFonts w:asciiTheme="minorHAnsi" w:eastAsia="MS Mincho" w:hAnsiTheme="minorHAnsi" w:cstheme="minorHAnsi"/>
        </w:rPr>
        <w:t>14</w:t>
      </w:r>
      <w:r w:rsidR="00FA3088">
        <w:rPr>
          <w:rFonts w:asciiTheme="minorHAnsi" w:eastAsia="MS Mincho" w:hAnsiTheme="minorHAnsi" w:cstheme="minorHAnsi"/>
        </w:rPr>
        <w:t xml:space="preserve">, </w:t>
      </w:r>
      <w:r w:rsidRPr="00942DD7">
        <w:rPr>
          <w:rFonts w:asciiTheme="minorHAnsi" w:eastAsia="MS Mincho" w:hAnsiTheme="minorHAnsi" w:cstheme="minorHAnsi"/>
        </w:rPr>
        <w:t xml:space="preserve">are </w:t>
      </w:r>
      <w:r w:rsidR="00FA3088">
        <w:rPr>
          <w:rFonts w:asciiTheme="minorHAnsi" w:eastAsia="MS Mincho" w:hAnsiTheme="minorHAnsi" w:cstheme="minorHAnsi"/>
        </w:rPr>
        <w:t xml:space="preserve">particularly difficult to adapt </w:t>
      </w:r>
      <w:r w:rsidRPr="00942DD7">
        <w:rPr>
          <w:rFonts w:asciiTheme="minorHAnsi" w:eastAsia="MS Mincho" w:hAnsiTheme="minorHAnsi" w:cstheme="minorHAnsi"/>
        </w:rPr>
        <w:t xml:space="preserve">to collective bargaining. There </w:t>
      </w:r>
      <w:r w:rsidR="004E2CD6">
        <w:rPr>
          <w:rFonts w:asciiTheme="minorHAnsi" w:eastAsia="MS Mincho" w:hAnsiTheme="minorHAnsi" w:cstheme="minorHAnsi"/>
        </w:rPr>
        <w:t xml:space="preserve">is </w:t>
      </w:r>
      <w:r>
        <w:rPr>
          <w:rFonts w:asciiTheme="minorHAnsi" w:eastAsia="MS Mincho" w:hAnsiTheme="minorHAnsi" w:cstheme="minorHAnsi"/>
        </w:rPr>
        <w:t xml:space="preserve">often </w:t>
      </w:r>
      <w:r w:rsidRPr="00942DD7">
        <w:rPr>
          <w:rFonts w:asciiTheme="minorHAnsi" w:eastAsia="MS Mincho" w:hAnsiTheme="minorHAnsi" w:cstheme="minorHAnsi"/>
        </w:rPr>
        <w:t xml:space="preserve">a large overlap between the research a student does for a faculty member as part of </w:t>
      </w:r>
      <w:r w:rsidR="00A71E77">
        <w:rPr>
          <w:rFonts w:asciiTheme="minorHAnsi" w:eastAsia="MS Mincho" w:hAnsiTheme="minorHAnsi" w:cstheme="minorHAnsi"/>
        </w:rPr>
        <w:t xml:space="preserve">the faculty member’s </w:t>
      </w:r>
      <w:r w:rsidRPr="00942DD7">
        <w:rPr>
          <w:rFonts w:asciiTheme="minorHAnsi" w:eastAsia="MS Mincho" w:hAnsiTheme="minorHAnsi" w:cstheme="minorHAnsi"/>
        </w:rPr>
        <w:t xml:space="preserve">research grant or contract, and the research the student does for his or her dissertation. </w:t>
      </w:r>
      <w:r w:rsidR="003009CD">
        <w:rPr>
          <w:rFonts w:asciiTheme="minorHAnsi" w:eastAsia="MS Mincho" w:hAnsiTheme="minorHAnsi" w:cstheme="minorHAnsi"/>
        </w:rPr>
        <w:t xml:space="preserve">(In Prof. Sayer’s time-use study, RAs reported that, on average, more than half of their RA hours contributed to their own research.) </w:t>
      </w:r>
      <w:r>
        <w:rPr>
          <w:rFonts w:asciiTheme="minorHAnsi" w:eastAsia="MS Mincho" w:hAnsiTheme="minorHAnsi" w:cstheme="minorHAnsi"/>
        </w:rPr>
        <w:t>The former is essential training for the latter, and i</w:t>
      </w:r>
      <w:r w:rsidRPr="00942DD7">
        <w:rPr>
          <w:rFonts w:asciiTheme="minorHAnsi" w:eastAsia="MS Mincho" w:hAnsiTheme="minorHAnsi" w:cstheme="minorHAnsi"/>
        </w:rPr>
        <w:t xml:space="preserve">t is </w:t>
      </w:r>
      <w:r w:rsidR="00E93C02">
        <w:rPr>
          <w:rFonts w:asciiTheme="minorHAnsi" w:eastAsia="MS Mincho" w:hAnsiTheme="minorHAnsi" w:cstheme="minorHAnsi"/>
        </w:rPr>
        <w:t xml:space="preserve">often </w:t>
      </w:r>
      <w:r w:rsidRPr="00942DD7">
        <w:rPr>
          <w:rFonts w:asciiTheme="minorHAnsi" w:eastAsia="MS Mincho" w:hAnsiTheme="minorHAnsi" w:cstheme="minorHAnsi"/>
        </w:rPr>
        <w:t>impossible to determine where one ends and the other begins. Completing a dissertation—a piece of original research and scholarship—requires long hours</w:t>
      </w:r>
      <w:r>
        <w:rPr>
          <w:rFonts w:asciiTheme="minorHAnsi" w:eastAsia="MS Mincho" w:hAnsiTheme="minorHAnsi" w:cstheme="minorHAnsi"/>
        </w:rPr>
        <w:t xml:space="preserve"> of effort</w:t>
      </w:r>
      <w:r w:rsidR="001D7451">
        <w:rPr>
          <w:rFonts w:asciiTheme="minorHAnsi" w:eastAsia="MS Mincho" w:hAnsiTheme="minorHAnsi" w:cstheme="minorHAnsi"/>
        </w:rPr>
        <w:t xml:space="preserve"> </w:t>
      </w:r>
      <w:r w:rsidRPr="00942DD7">
        <w:rPr>
          <w:rFonts w:asciiTheme="minorHAnsi" w:eastAsia="MS Mincho" w:hAnsiTheme="minorHAnsi" w:cstheme="minorHAnsi"/>
        </w:rPr>
        <w:t>regardless of whether the student has a</w:t>
      </w:r>
      <w:r w:rsidR="00E93C02">
        <w:rPr>
          <w:rFonts w:asciiTheme="minorHAnsi" w:eastAsia="MS Mincho" w:hAnsiTheme="minorHAnsi" w:cstheme="minorHAnsi"/>
        </w:rPr>
        <w:t xml:space="preserve"> research </w:t>
      </w:r>
      <w:r w:rsidRPr="00942DD7">
        <w:rPr>
          <w:rFonts w:asciiTheme="minorHAnsi" w:eastAsia="MS Mincho" w:hAnsiTheme="minorHAnsi" w:cstheme="minorHAnsi"/>
        </w:rPr>
        <w:t>assistantship</w:t>
      </w:r>
      <w:r w:rsidR="001D7451">
        <w:rPr>
          <w:rFonts w:asciiTheme="minorHAnsi" w:eastAsia="MS Mincho" w:hAnsiTheme="minorHAnsi" w:cstheme="minorHAnsi"/>
        </w:rPr>
        <w:t>, and the amount of effort required for the dissertation cannot be affected by collective bargaining</w:t>
      </w:r>
      <w:r w:rsidRPr="00942DD7">
        <w:rPr>
          <w:rFonts w:asciiTheme="minorHAnsi" w:eastAsia="MS Mincho" w:hAnsiTheme="minorHAnsi" w:cstheme="minorHAnsi"/>
        </w:rPr>
        <w:t xml:space="preserve">. </w:t>
      </w:r>
      <w:r w:rsidR="00FA3088">
        <w:rPr>
          <w:rFonts w:asciiTheme="minorHAnsi" w:eastAsia="MS Mincho" w:hAnsiTheme="minorHAnsi" w:cstheme="minorHAnsi"/>
        </w:rPr>
        <w:t xml:space="preserve">For this reason, most institutions that have collective bargaining for teaching assistants do not extend collective bargaining to research assistants. </w:t>
      </w:r>
      <w:r w:rsidR="00E93C02">
        <w:rPr>
          <w:rFonts w:asciiTheme="minorHAnsi" w:eastAsia="MS Mincho" w:hAnsiTheme="minorHAnsi" w:cstheme="minorHAnsi"/>
        </w:rPr>
        <w:t>Of the five Big Ten institutions with collective bargaining</w:t>
      </w:r>
      <w:r w:rsidR="001D7451">
        <w:rPr>
          <w:rFonts w:asciiTheme="minorHAnsi" w:eastAsia="MS Mincho" w:hAnsiTheme="minorHAnsi" w:cstheme="minorHAnsi"/>
        </w:rPr>
        <w:t xml:space="preserve"> for GAs</w:t>
      </w:r>
      <w:r w:rsidR="00E93C02">
        <w:rPr>
          <w:rFonts w:asciiTheme="minorHAnsi" w:eastAsia="MS Mincho" w:hAnsiTheme="minorHAnsi" w:cstheme="minorHAnsi"/>
        </w:rPr>
        <w:t xml:space="preserve">, only Rutgers includes research assistants, and the contract specifies that it has no impact on the work needed to satisfy degree requirements. </w:t>
      </w:r>
    </w:p>
    <w:p w14:paraId="70412AA5" w14:textId="77777777" w:rsidR="00942DD7" w:rsidRDefault="00942DD7" w:rsidP="00942DD7">
      <w:pPr>
        <w:rPr>
          <w:rFonts w:asciiTheme="minorHAnsi" w:eastAsia="MS Mincho" w:hAnsiTheme="minorHAnsi" w:cstheme="minorHAnsi"/>
        </w:rPr>
      </w:pPr>
    </w:p>
    <w:p w14:paraId="5C97233D" w14:textId="04FDA95A" w:rsidR="0089474A" w:rsidRDefault="0089474A">
      <w:pPr>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767"/>
        <w:gridCol w:w="1710"/>
        <w:gridCol w:w="1438"/>
        <w:gridCol w:w="1438"/>
        <w:gridCol w:w="1439"/>
      </w:tblGrid>
      <w:tr w:rsidR="00E3629D" w14:paraId="42624819" w14:textId="77777777" w:rsidTr="00E3629D">
        <w:tc>
          <w:tcPr>
            <w:tcW w:w="9350" w:type="dxa"/>
            <w:gridSpan w:val="6"/>
            <w:tcBorders>
              <w:bottom w:val="single" w:sz="4" w:space="0" w:color="auto"/>
            </w:tcBorders>
          </w:tcPr>
          <w:p w14:paraId="56C92975" w14:textId="77777777" w:rsidR="00E3629D" w:rsidRPr="0089474A" w:rsidRDefault="00E3629D" w:rsidP="00E3629D">
            <w:pPr>
              <w:jc w:val="center"/>
              <w:rPr>
                <w:rFonts w:cstheme="minorHAnsi"/>
                <w:b/>
              </w:rPr>
            </w:pPr>
            <w:r w:rsidRPr="0089474A">
              <w:rPr>
                <w:rFonts w:cstheme="minorHAnsi"/>
                <w:b/>
              </w:rPr>
              <w:lastRenderedPageBreak/>
              <w:t>Minimum Graduate Assistant Stipends</w:t>
            </w:r>
            <w:r>
              <w:rPr>
                <w:rFonts w:cstheme="minorHAnsi"/>
                <w:b/>
              </w:rPr>
              <w:t xml:space="preserve"> and Collective Bargaining Status</w:t>
            </w:r>
          </w:p>
          <w:p w14:paraId="39DF5EDC" w14:textId="56CDEDA8" w:rsidR="00E3629D" w:rsidRPr="0089474A" w:rsidRDefault="00E3629D" w:rsidP="00586457">
            <w:pPr>
              <w:jc w:val="center"/>
              <w:rPr>
                <w:rFonts w:cstheme="minorHAnsi"/>
              </w:rPr>
            </w:pPr>
            <w:r w:rsidRPr="0089474A">
              <w:rPr>
                <w:rFonts w:cstheme="minorHAnsi"/>
              </w:rPr>
              <w:t>Big Ten Public Universities, Spring 20</w:t>
            </w:r>
            <w:r w:rsidR="001E65BD">
              <w:rPr>
                <w:rFonts w:cstheme="minorHAnsi"/>
              </w:rPr>
              <w:t>20</w:t>
            </w:r>
            <w:r w:rsidR="00586457">
              <w:rPr>
                <w:rFonts w:cstheme="minorHAnsi"/>
              </w:rPr>
              <w:t xml:space="preserve">, </w:t>
            </w:r>
            <w:r w:rsidRPr="0089474A">
              <w:rPr>
                <w:rFonts w:cstheme="minorHAnsi"/>
              </w:rPr>
              <w:t>20 h</w:t>
            </w:r>
            <w:r w:rsidR="00586457">
              <w:rPr>
                <w:rFonts w:cstheme="minorHAnsi"/>
              </w:rPr>
              <w:t>ou</w:t>
            </w:r>
            <w:r w:rsidRPr="0089474A">
              <w:rPr>
                <w:rFonts w:cstheme="minorHAnsi"/>
              </w:rPr>
              <w:t>r/week appointment</w:t>
            </w:r>
          </w:p>
          <w:p w14:paraId="4946F643" w14:textId="77777777" w:rsidR="00E3629D" w:rsidRDefault="00E3629D" w:rsidP="00E3629D">
            <w:pPr>
              <w:jc w:val="center"/>
              <w:rPr>
                <w:rFonts w:cstheme="minorHAnsi"/>
              </w:rPr>
            </w:pPr>
          </w:p>
        </w:tc>
      </w:tr>
      <w:tr w:rsidR="00E3629D" w14:paraId="7BBFA732" w14:textId="77777777" w:rsidTr="00E3629D">
        <w:tc>
          <w:tcPr>
            <w:tcW w:w="1558" w:type="dxa"/>
            <w:tcBorders>
              <w:top w:val="single" w:sz="4" w:space="0" w:color="auto"/>
              <w:bottom w:val="single" w:sz="4" w:space="0" w:color="auto"/>
            </w:tcBorders>
          </w:tcPr>
          <w:p w14:paraId="4F74C62A" w14:textId="77777777" w:rsidR="00E3629D" w:rsidRDefault="00E3629D" w:rsidP="00E3629D">
            <w:pPr>
              <w:rPr>
                <w:rFonts w:cstheme="minorHAnsi"/>
              </w:rPr>
            </w:pPr>
          </w:p>
        </w:tc>
        <w:tc>
          <w:tcPr>
            <w:tcW w:w="3477" w:type="dxa"/>
            <w:gridSpan w:val="2"/>
            <w:tcBorders>
              <w:top w:val="single" w:sz="4" w:space="0" w:color="auto"/>
              <w:bottom w:val="single" w:sz="4" w:space="0" w:color="auto"/>
            </w:tcBorders>
          </w:tcPr>
          <w:p w14:paraId="1E433685" w14:textId="3843492E" w:rsidR="00E3629D" w:rsidRPr="00E3629D" w:rsidRDefault="00E3629D" w:rsidP="00E3629D">
            <w:pPr>
              <w:jc w:val="center"/>
              <w:rPr>
                <w:rFonts w:cstheme="minorHAnsi"/>
                <w:b/>
              </w:rPr>
            </w:pPr>
            <w:r w:rsidRPr="00E3629D">
              <w:rPr>
                <w:rFonts w:cstheme="minorHAnsi"/>
                <w:b/>
              </w:rPr>
              <w:t>Minimum Stipend</w:t>
            </w:r>
          </w:p>
        </w:tc>
        <w:tc>
          <w:tcPr>
            <w:tcW w:w="4315" w:type="dxa"/>
            <w:gridSpan w:val="3"/>
            <w:tcBorders>
              <w:top w:val="single" w:sz="4" w:space="0" w:color="auto"/>
              <w:bottom w:val="single" w:sz="4" w:space="0" w:color="auto"/>
            </w:tcBorders>
          </w:tcPr>
          <w:p w14:paraId="138F4E68" w14:textId="5A85CBA6" w:rsidR="00E3629D" w:rsidRPr="005508E1" w:rsidRDefault="00E3629D" w:rsidP="00E3629D">
            <w:pPr>
              <w:jc w:val="center"/>
              <w:rPr>
                <w:rFonts w:cstheme="minorHAnsi"/>
                <w:b/>
              </w:rPr>
            </w:pPr>
            <w:r w:rsidRPr="005508E1">
              <w:rPr>
                <w:rFonts w:cstheme="minorHAnsi"/>
                <w:b/>
              </w:rPr>
              <w:t>Collective Bargaining</w:t>
            </w:r>
            <w:r w:rsidR="00876B9B">
              <w:rPr>
                <w:rFonts w:cstheme="minorHAnsi"/>
                <w:b/>
              </w:rPr>
              <w:t>?</w:t>
            </w:r>
            <w:r w:rsidRPr="005508E1">
              <w:rPr>
                <w:rFonts w:cstheme="minorHAnsi"/>
                <w:b/>
              </w:rPr>
              <w:t xml:space="preserve"> </w:t>
            </w:r>
          </w:p>
        </w:tc>
      </w:tr>
      <w:tr w:rsidR="00E3629D" w14:paraId="5ECF63EB" w14:textId="77777777" w:rsidTr="00E3629D">
        <w:tc>
          <w:tcPr>
            <w:tcW w:w="1558" w:type="dxa"/>
            <w:tcBorders>
              <w:top w:val="single" w:sz="4" w:space="0" w:color="auto"/>
              <w:bottom w:val="single" w:sz="4" w:space="0" w:color="auto"/>
            </w:tcBorders>
          </w:tcPr>
          <w:p w14:paraId="027E2AF2" w14:textId="77777777" w:rsidR="00E3629D" w:rsidRDefault="00E3629D" w:rsidP="00E3629D">
            <w:pPr>
              <w:rPr>
                <w:rFonts w:cstheme="minorHAnsi"/>
              </w:rPr>
            </w:pPr>
            <w:r w:rsidRPr="0089474A">
              <w:rPr>
                <w:rFonts w:cstheme="minorHAnsi"/>
                <w:b/>
              </w:rPr>
              <w:t>Institution</w:t>
            </w:r>
          </w:p>
        </w:tc>
        <w:tc>
          <w:tcPr>
            <w:tcW w:w="1767" w:type="dxa"/>
            <w:tcBorders>
              <w:top w:val="single" w:sz="4" w:space="0" w:color="auto"/>
              <w:bottom w:val="single" w:sz="4" w:space="0" w:color="auto"/>
            </w:tcBorders>
          </w:tcPr>
          <w:p w14:paraId="3D422A1B" w14:textId="77777777" w:rsidR="00E3629D" w:rsidRDefault="00E3629D" w:rsidP="00E3629D">
            <w:pPr>
              <w:jc w:val="center"/>
              <w:rPr>
                <w:rFonts w:cstheme="minorHAnsi"/>
              </w:rPr>
            </w:pPr>
            <w:r w:rsidRPr="0089474A">
              <w:rPr>
                <w:rFonts w:cstheme="minorHAnsi"/>
                <w:b/>
              </w:rPr>
              <w:t>Academic Year</w:t>
            </w:r>
          </w:p>
        </w:tc>
        <w:tc>
          <w:tcPr>
            <w:tcW w:w="1710" w:type="dxa"/>
            <w:tcBorders>
              <w:top w:val="single" w:sz="4" w:space="0" w:color="auto"/>
              <w:bottom w:val="single" w:sz="4" w:space="0" w:color="auto"/>
            </w:tcBorders>
          </w:tcPr>
          <w:p w14:paraId="2E561D63" w14:textId="77777777" w:rsidR="00E3629D" w:rsidRDefault="00E3629D" w:rsidP="00E3629D">
            <w:pPr>
              <w:jc w:val="center"/>
              <w:rPr>
                <w:rFonts w:cstheme="minorHAnsi"/>
              </w:rPr>
            </w:pPr>
            <w:r w:rsidRPr="0089474A">
              <w:rPr>
                <w:rFonts w:cstheme="minorHAnsi"/>
                <w:b/>
              </w:rPr>
              <w:t>Full Year</w:t>
            </w:r>
          </w:p>
        </w:tc>
        <w:tc>
          <w:tcPr>
            <w:tcW w:w="1438" w:type="dxa"/>
            <w:tcBorders>
              <w:top w:val="single" w:sz="4" w:space="0" w:color="auto"/>
              <w:bottom w:val="single" w:sz="4" w:space="0" w:color="auto"/>
            </w:tcBorders>
          </w:tcPr>
          <w:p w14:paraId="38B225B3" w14:textId="77777777" w:rsidR="00E3629D" w:rsidRDefault="00E3629D" w:rsidP="00E3629D">
            <w:pPr>
              <w:jc w:val="center"/>
              <w:rPr>
                <w:rFonts w:cstheme="minorHAnsi"/>
              </w:rPr>
            </w:pPr>
            <w:r>
              <w:rPr>
                <w:rFonts w:cstheme="minorHAnsi"/>
              </w:rPr>
              <w:t>TA</w:t>
            </w:r>
          </w:p>
        </w:tc>
        <w:tc>
          <w:tcPr>
            <w:tcW w:w="1438" w:type="dxa"/>
            <w:tcBorders>
              <w:top w:val="single" w:sz="4" w:space="0" w:color="auto"/>
              <w:bottom w:val="single" w:sz="4" w:space="0" w:color="auto"/>
            </w:tcBorders>
          </w:tcPr>
          <w:p w14:paraId="255D097D" w14:textId="77777777" w:rsidR="00E3629D" w:rsidRDefault="00E3629D" w:rsidP="00E3629D">
            <w:pPr>
              <w:jc w:val="center"/>
              <w:rPr>
                <w:rFonts w:cstheme="minorHAnsi"/>
              </w:rPr>
            </w:pPr>
            <w:r>
              <w:rPr>
                <w:rFonts w:cstheme="minorHAnsi"/>
              </w:rPr>
              <w:t>AA</w:t>
            </w:r>
          </w:p>
        </w:tc>
        <w:tc>
          <w:tcPr>
            <w:tcW w:w="1439" w:type="dxa"/>
            <w:tcBorders>
              <w:top w:val="single" w:sz="4" w:space="0" w:color="auto"/>
              <w:bottom w:val="single" w:sz="4" w:space="0" w:color="auto"/>
            </w:tcBorders>
          </w:tcPr>
          <w:p w14:paraId="7D41C27E" w14:textId="77777777" w:rsidR="00E3629D" w:rsidRDefault="00E3629D" w:rsidP="00E3629D">
            <w:pPr>
              <w:jc w:val="center"/>
              <w:rPr>
                <w:rFonts w:cstheme="minorHAnsi"/>
              </w:rPr>
            </w:pPr>
            <w:r>
              <w:rPr>
                <w:rFonts w:cstheme="minorHAnsi"/>
              </w:rPr>
              <w:t>RA</w:t>
            </w:r>
          </w:p>
        </w:tc>
      </w:tr>
      <w:tr w:rsidR="00E3629D" w:rsidRPr="00E91D26" w14:paraId="3859B137" w14:textId="77777777" w:rsidTr="00E3629D">
        <w:tc>
          <w:tcPr>
            <w:tcW w:w="1558" w:type="dxa"/>
            <w:tcBorders>
              <w:top w:val="single" w:sz="4" w:space="0" w:color="auto"/>
            </w:tcBorders>
          </w:tcPr>
          <w:p w14:paraId="553909DC" w14:textId="77777777" w:rsidR="00E3629D" w:rsidRPr="00E91D26" w:rsidRDefault="00E3629D" w:rsidP="00E3629D">
            <w:pPr>
              <w:rPr>
                <w:rFonts w:cstheme="minorHAnsi"/>
              </w:rPr>
            </w:pPr>
            <w:r w:rsidRPr="00E91D26">
              <w:rPr>
                <w:rFonts w:cstheme="minorHAnsi"/>
              </w:rPr>
              <w:t>Rutgers</w:t>
            </w:r>
            <w:r w:rsidRPr="00E91D26">
              <w:rPr>
                <w:rFonts w:cstheme="minorHAnsi"/>
                <w:vertAlign w:val="superscript"/>
              </w:rPr>
              <w:t>1</w:t>
            </w:r>
          </w:p>
        </w:tc>
        <w:tc>
          <w:tcPr>
            <w:tcW w:w="1767" w:type="dxa"/>
            <w:tcBorders>
              <w:top w:val="single" w:sz="4" w:space="0" w:color="auto"/>
            </w:tcBorders>
          </w:tcPr>
          <w:p w14:paraId="083C0E73" w14:textId="59AF7D75" w:rsidR="00E3629D" w:rsidRPr="00E91D26" w:rsidRDefault="00E3629D" w:rsidP="00E3629D">
            <w:pPr>
              <w:ind w:right="432"/>
              <w:jc w:val="right"/>
              <w:rPr>
                <w:rFonts w:cstheme="minorHAnsi"/>
              </w:rPr>
            </w:pPr>
            <w:r w:rsidRPr="00E91D26">
              <w:rPr>
                <w:rFonts w:cstheme="minorHAnsi"/>
              </w:rPr>
              <w:t>2</w:t>
            </w:r>
            <w:r w:rsidR="00582549" w:rsidRPr="00E91D26">
              <w:rPr>
                <w:rFonts w:cstheme="minorHAnsi"/>
              </w:rPr>
              <w:t>8,569</w:t>
            </w:r>
          </w:p>
        </w:tc>
        <w:tc>
          <w:tcPr>
            <w:tcW w:w="1710" w:type="dxa"/>
            <w:tcBorders>
              <w:top w:val="single" w:sz="4" w:space="0" w:color="auto"/>
            </w:tcBorders>
          </w:tcPr>
          <w:p w14:paraId="0302F6DF" w14:textId="257B31CC" w:rsidR="00E3629D" w:rsidRPr="00E91D26" w:rsidRDefault="00582549" w:rsidP="00E3629D">
            <w:pPr>
              <w:ind w:right="432"/>
              <w:jc w:val="right"/>
              <w:rPr>
                <w:rFonts w:cstheme="minorHAnsi"/>
              </w:rPr>
            </w:pPr>
            <w:r w:rsidRPr="00E91D26">
              <w:rPr>
                <w:rFonts w:cstheme="minorHAnsi"/>
              </w:rPr>
              <w:t>32,204</w:t>
            </w:r>
          </w:p>
        </w:tc>
        <w:tc>
          <w:tcPr>
            <w:tcW w:w="1438" w:type="dxa"/>
            <w:tcBorders>
              <w:top w:val="single" w:sz="4" w:space="0" w:color="auto"/>
            </w:tcBorders>
          </w:tcPr>
          <w:p w14:paraId="23C5791E" w14:textId="77777777" w:rsidR="00E3629D" w:rsidRPr="00E91D26" w:rsidRDefault="00E3629D" w:rsidP="00E3629D">
            <w:pPr>
              <w:jc w:val="center"/>
              <w:rPr>
                <w:rFonts w:cstheme="minorHAnsi"/>
              </w:rPr>
            </w:pPr>
            <w:r w:rsidRPr="00E91D26">
              <w:rPr>
                <w:rFonts w:cstheme="minorHAnsi"/>
              </w:rPr>
              <w:t>Y</w:t>
            </w:r>
          </w:p>
        </w:tc>
        <w:tc>
          <w:tcPr>
            <w:tcW w:w="1438" w:type="dxa"/>
            <w:tcBorders>
              <w:top w:val="single" w:sz="4" w:space="0" w:color="auto"/>
            </w:tcBorders>
          </w:tcPr>
          <w:p w14:paraId="69C43EE7" w14:textId="77777777" w:rsidR="00E3629D" w:rsidRPr="00E91D26" w:rsidRDefault="00E3629D" w:rsidP="00E3629D">
            <w:pPr>
              <w:jc w:val="center"/>
              <w:rPr>
                <w:rFonts w:cstheme="minorHAnsi"/>
              </w:rPr>
            </w:pPr>
            <w:r w:rsidRPr="00E91D26">
              <w:rPr>
                <w:rFonts w:cstheme="minorHAnsi"/>
              </w:rPr>
              <w:t>Y</w:t>
            </w:r>
          </w:p>
        </w:tc>
        <w:tc>
          <w:tcPr>
            <w:tcW w:w="1439" w:type="dxa"/>
            <w:tcBorders>
              <w:top w:val="single" w:sz="4" w:space="0" w:color="auto"/>
            </w:tcBorders>
          </w:tcPr>
          <w:p w14:paraId="28AE0DF1" w14:textId="77777777" w:rsidR="00E3629D" w:rsidRPr="00E91D26" w:rsidRDefault="00E3629D" w:rsidP="00E3629D">
            <w:pPr>
              <w:jc w:val="center"/>
              <w:rPr>
                <w:rFonts w:cstheme="minorHAnsi"/>
              </w:rPr>
            </w:pPr>
            <w:r w:rsidRPr="00E91D26">
              <w:rPr>
                <w:rFonts w:cstheme="minorHAnsi"/>
              </w:rPr>
              <w:t>Y</w:t>
            </w:r>
          </w:p>
        </w:tc>
      </w:tr>
      <w:tr w:rsidR="00E3629D" w:rsidRPr="00E91D26" w14:paraId="1666EFC4" w14:textId="77777777" w:rsidTr="00E3629D">
        <w:tc>
          <w:tcPr>
            <w:tcW w:w="1558" w:type="dxa"/>
          </w:tcPr>
          <w:p w14:paraId="63F05C93" w14:textId="6319DF5D" w:rsidR="00E3629D" w:rsidRPr="00E91D26" w:rsidRDefault="00E3629D" w:rsidP="00E3629D">
            <w:pPr>
              <w:rPr>
                <w:rFonts w:cstheme="minorHAnsi"/>
              </w:rPr>
            </w:pPr>
            <w:r w:rsidRPr="00E91D26">
              <w:rPr>
                <w:rFonts w:cstheme="minorHAnsi"/>
              </w:rPr>
              <w:t>Michigan</w:t>
            </w:r>
            <w:r w:rsidRPr="00E91D26">
              <w:rPr>
                <w:rFonts w:cstheme="minorHAnsi"/>
                <w:vertAlign w:val="superscript"/>
              </w:rPr>
              <w:t>2</w:t>
            </w:r>
          </w:p>
        </w:tc>
        <w:tc>
          <w:tcPr>
            <w:tcW w:w="1767" w:type="dxa"/>
          </w:tcPr>
          <w:p w14:paraId="171C6C31" w14:textId="14BDBE55" w:rsidR="00E3629D" w:rsidRPr="00E91D26" w:rsidRDefault="00E3629D" w:rsidP="00E3629D">
            <w:pPr>
              <w:ind w:right="432"/>
              <w:jc w:val="right"/>
              <w:rPr>
                <w:rFonts w:cstheme="minorHAnsi"/>
              </w:rPr>
            </w:pPr>
            <w:r w:rsidRPr="00E91D26">
              <w:rPr>
                <w:rFonts w:cstheme="minorHAnsi"/>
              </w:rPr>
              <w:t>21,</w:t>
            </w:r>
            <w:r w:rsidR="00582549" w:rsidRPr="00E91D26">
              <w:rPr>
                <w:rFonts w:cstheme="minorHAnsi"/>
              </w:rPr>
              <w:t>779</w:t>
            </w:r>
          </w:p>
        </w:tc>
        <w:tc>
          <w:tcPr>
            <w:tcW w:w="1710" w:type="dxa"/>
          </w:tcPr>
          <w:p w14:paraId="386F3FC9" w14:textId="62CBA538" w:rsidR="00E3629D" w:rsidRPr="00E91D26" w:rsidRDefault="00E3629D" w:rsidP="00E3629D">
            <w:pPr>
              <w:ind w:right="432"/>
              <w:jc w:val="right"/>
              <w:rPr>
                <w:rFonts w:cstheme="minorHAnsi"/>
              </w:rPr>
            </w:pPr>
          </w:p>
        </w:tc>
        <w:tc>
          <w:tcPr>
            <w:tcW w:w="1438" w:type="dxa"/>
          </w:tcPr>
          <w:p w14:paraId="1EEECD66" w14:textId="77777777" w:rsidR="00E3629D" w:rsidRPr="00E91D26" w:rsidRDefault="00E3629D" w:rsidP="00E3629D">
            <w:pPr>
              <w:jc w:val="center"/>
              <w:rPr>
                <w:rFonts w:cstheme="minorHAnsi"/>
              </w:rPr>
            </w:pPr>
            <w:r w:rsidRPr="00E91D26">
              <w:rPr>
                <w:rFonts w:cstheme="minorHAnsi"/>
              </w:rPr>
              <w:t>Y</w:t>
            </w:r>
          </w:p>
        </w:tc>
        <w:tc>
          <w:tcPr>
            <w:tcW w:w="1438" w:type="dxa"/>
          </w:tcPr>
          <w:p w14:paraId="4A4A918E" w14:textId="77777777" w:rsidR="00E3629D" w:rsidRPr="00E91D26" w:rsidRDefault="00E3629D" w:rsidP="00E3629D">
            <w:pPr>
              <w:jc w:val="center"/>
              <w:rPr>
                <w:rFonts w:cstheme="minorHAnsi"/>
              </w:rPr>
            </w:pPr>
            <w:r w:rsidRPr="00E91D26">
              <w:rPr>
                <w:rFonts w:cstheme="minorHAnsi"/>
              </w:rPr>
              <w:t>Y</w:t>
            </w:r>
          </w:p>
        </w:tc>
        <w:tc>
          <w:tcPr>
            <w:tcW w:w="1439" w:type="dxa"/>
          </w:tcPr>
          <w:p w14:paraId="29BEC3B6" w14:textId="77777777" w:rsidR="00E3629D" w:rsidRPr="00E91D26" w:rsidRDefault="00E3629D" w:rsidP="00E3629D">
            <w:pPr>
              <w:jc w:val="center"/>
              <w:rPr>
                <w:rFonts w:cstheme="minorHAnsi"/>
              </w:rPr>
            </w:pPr>
          </w:p>
        </w:tc>
      </w:tr>
      <w:tr w:rsidR="00E3629D" w:rsidRPr="00E91D26" w14:paraId="0BA9AA30" w14:textId="77777777" w:rsidTr="00E3629D">
        <w:tc>
          <w:tcPr>
            <w:tcW w:w="1558" w:type="dxa"/>
          </w:tcPr>
          <w:p w14:paraId="0608F318" w14:textId="1C33EA29" w:rsidR="00E3629D" w:rsidRPr="00E91D26" w:rsidRDefault="00E3629D" w:rsidP="00E3629D">
            <w:pPr>
              <w:rPr>
                <w:rFonts w:cstheme="minorHAnsi"/>
              </w:rPr>
            </w:pPr>
            <w:r w:rsidRPr="00E91D26">
              <w:rPr>
                <w:rFonts w:cstheme="minorHAnsi"/>
              </w:rPr>
              <w:t>Penn State</w:t>
            </w:r>
          </w:p>
        </w:tc>
        <w:tc>
          <w:tcPr>
            <w:tcW w:w="1767" w:type="dxa"/>
          </w:tcPr>
          <w:p w14:paraId="20629EBC" w14:textId="3EAB8BB4" w:rsidR="00E3629D" w:rsidRPr="00E91D26" w:rsidRDefault="00E3629D" w:rsidP="00E3629D">
            <w:pPr>
              <w:ind w:right="432"/>
              <w:jc w:val="right"/>
              <w:rPr>
                <w:rFonts w:cstheme="minorHAnsi"/>
              </w:rPr>
            </w:pPr>
            <w:r w:rsidRPr="00E91D26">
              <w:rPr>
                <w:rFonts w:cstheme="minorHAnsi"/>
              </w:rPr>
              <w:t>20,</w:t>
            </w:r>
            <w:r w:rsidR="00BE3293" w:rsidRPr="00E91D26">
              <w:rPr>
                <w:rFonts w:cstheme="minorHAnsi"/>
              </w:rPr>
              <w:t>790</w:t>
            </w:r>
          </w:p>
        </w:tc>
        <w:tc>
          <w:tcPr>
            <w:tcW w:w="1710" w:type="dxa"/>
          </w:tcPr>
          <w:p w14:paraId="027062EC" w14:textId="7BEAEA4C" w:rsidR="00E3629D" w:rsidRPr="00E91D26" w:rsidRDefault="00BE3293" w:rsidP="00E3629D">
            <w:pPr>
              <w:ind w:right="432"/>
              <w:jc w:val="right"/>
              <w:rPr>
                <w:rFonts w:cstheme="minorHAnsi"/>
              </w:rPr>
            </w:pPr>
            <w:r w:rsidRPr="00E91D26">
              <w:rPr>
                <w:rFonts w:cstheme="minorHAnsi"/>
              </w:rPr>
              <w:t>27,720</w:t>
            </w:r>
          </w:p>
        </w:tc>
        <w:tc>
          <w:tcPr>
            <w:tcW w:w="1438" w:type="dxa"/>
          </w:tcPr>
          <w:p w14:paraId="2C8FBC4C" w14:textId="77777777" w:rsidR="00E3629D" w:rsidRPr="00E91D26" w:rsidRDefault="00E3629D" w:rsidP="00E3629D">
            <w:pPr>
              <w:jc w:val="center"/>
              <w:rPr>
                <w:rFonts w:cstheme="minorHAnsi"/>
              </w:rPr>
            </w:pPr>
          </w:p>
        </w:tc>
        <w:tc>
          <w:tcPr>
            <w:tcW w:w="1438" w:type="dxa"/>
          </w:tcPr>
          <w:p w14:paraId="21376ACF" w14:textId="77777777" w:rsidR="00E3629D" w:rsidRPr="00E91D26" w:rsidRDefault="00E3629D" w:rsidP="00E3629D">
            <w:pPr>
              <w:jc w:val="center"/>
              <w:rPr>
                <w:rFonts w:cstheme="minorHAnsi"/>
              </w:rPr>
            </w:pPr>
          </w:p>
        </w:tc>
        <w:tc>
          <w:tcPr>
            <w:tcW w:w="1439" w:type="dxa"/>
          </w:tcPr>
          <w:p w14:paraId="66093E58" w14:textId="77777777" w:rsidR="00E3629D" w:rsidRPr="00E91D26" w:rsidRDefault="00E3629D" w:rsidP="00E3629D">
            <w:pPr>
              <w:jc w:val="center"/>
              <w:rPr>
                <w:rFonts w:cstheme="minorHAnsi"/>
              </w:rPr>
            </w:pPr>
          </w:p>
        </w:tc>
      </w:tr>
      <w:tr w:rsidR="0097466E" w:rsidRPr="00E91D26" w14:paraId="0BB805C1" w14:textId="77777777" w:rsidTr="00E3629D">
        <w:tc>
          <w:tcPr>
            <w:tcW w:w="1558" w:type="dxa"/>
          </w:tcPr>
          <w:p w14:paraId="0463BC98" w14:textId="384449CC" w:rsidR="0097466E" w:rsidRPr="00E91D26" w:rsidRDefault="0097466E" w:rsidP="0097466E">
            <w:pPr>
              <w:rPr>
                <w:rFonts w:cstheme="minorHAnsi"/>
              </w:rPr>
            </w:pPr>
            <w:r w:rsidRPr="00E91D26">
              <w:rPr>
                <w:rFonts w:cstheme="minorHAnsi"/>
              </w:rPr>
              <w:t>Wisconsin</w:t>
            </w:r>
          </w:p>
        </w:tc>
        <w:tc>
          <w:tcPr>
            <w:tcW w:w="1767" w:type="dxa"/>
          </w:tcPr>
          <w:p w14:paraId="0146B7A3" w14:textId="2ECFE004" w:rsidR="0097466E" w:rsidRPr="00E91D26" w:rsidRDefault="0097466E" w:rsidP="0097466E">
            <w:pPr>
              <w:ind w:right="432"/>
              <w:jc w:val="right"/>
              <w:rPr>
                <w:rFonts w:cstheme="minorHAnsi"/>
              </w:rPr>
            </w:pPr>
            <w:r w:rsidRPr="00E91D26">
              <w:rPr>
                <w:rFonts w:cstheme="minorHAnsi"/>
              </w:rPr>
              <w:t>20,000</w:t>
            </w:r>
          </w:p>
        </w:tc>
        <w:tc>
          <w:tcPr>
            <w:tcW w:w="1710" w:type="dxa"/>
          </w:tcPr>
          <w:p w14:paraId="10FFA655" w14:textId="77D1C92C" w:rsidR="0097466E" w:rsidRPr="00E91D26" w:rsidRDefault="0097466E" w:rsidP="0097466E">
            <w:pPr>
              <w:ind w:right="432"/>
              <w:jc w:val="right"/>
              <w:rPr>
                <w:rFonts w:cstheme="minorHAnsi"/>
              </w:rPr>
            </w:pPr>
            <w:r w:rsidRPr="00E91D26">
              <w:rPr>
                <w:rFonts w:cstheme="minorHAnsi"/>
              </w:rPr>
              <w:t>24,443</w:t>
            </w:r>
          </w:p>
        </w:tc>
        <w:tc>
          <w:tcPr>
            <w:tcW w:w="1438" w:type="dxa"/>
          </w:tcPr>
          <w:p w14:paraId="3A9CD49C" w14:textId="77777777" w:rsidR="0097466E" w:rsidRPr="00E91D26" w:rsidRDefault="0097466E" w:rsidP="0097466E">
            <w:pPr>
              <w:jc w:val="center"/>
              <w:rPr>
                <w:rFonts w:cstheme="minorHAnsi"/>
              </w:rPr>
            </w:pPr>
          </w:p>
        </w:tc>
        <w:tc>
          <w:tcPr>
            <w:tcW w:w="1438" w:type="dxa"/>
          </w:tcPr>
          <w:p w14:paraId="2D953FD3" w14:textId="77777777" w:rsidR="0097466E" w:rsidRPr="00E91D26" w:rsidRDefault="0097466E" w:rsidP="0097466E">
            <w:pPr>
              <w:jc w:val="center"/>
              <w:rPr>
                <w:rFonts w:cstheme="minorHAnsi"/>
              </w:rPr>
            </w:pPr>
          </w:p>
        </w:tc>
        <w:tc>
          <w:tcPr>
            <w:tcW w:w="1439" w:type="dxa"/>
          </w:tcPr>
          <w:p w14:paraId="51BE4709" w14:textId="77777777" w:rsidR="0097466E" w:rsidRPr="00E91D26" w:rsidRDefault="0097466E" w:rsidP="0097466E">
            <w:pPr>
              <w:jc w:val="center"/>
              <w:rPr>
                <w:rFonts w:cstheme="minorHAnsi"/>
              </w:rPr>
            </w:pPr>
          </w:p>
        </w:tc>
      </w:tr>
      <w:tr w:rsidR="0097466E" w:rsidRPr="00E91D26" w14:paraId="66479F51" w14:textId="77777777" w:rsidTr="00E3629D">
        <w:tc>
          <w:tcPr>
            <w:tcW w:w="1558" w:type="dxa"/>
          </w:tcPr>
          <w:p w14:paraId="06F29C5A" w14:textId="77777777" w:rsidR="0097466E" w:rsidRPr="00E91D26" w:rsidRDefault="0097466E" w:rsidP="0097466E">
            <w:pPr>
              <w:rPr>
                <w:rFonts w:cstheme="minorHAnsi"/>
              </w:rPr>
            </w:pPr>
            <w:r w:rsidRPr="00E91D26">
              <w:rPr>
                <w:rFonts w:cstheme="minorHAnsi"/>
              </w:rPr>
              <w:t>Iowa</w:t>
            </w:r>
          </w:p>
        </w:tc>
        <w:tc>
          <w:tcPr>
            <w:tcW w:w="1767" w:type="dxa"/>
          </w:tcPr>
          <w:p w14:paraId="2464E2EB" w14:textId="5AFE72B7" w:rsidR="0097466E" w:rsidRPr="00E91D26" w:rsidRDefault="0097466E" w:rsidP="0097466E">
            <w:pPr>
              <w:ind w:right="432"/>
              <w:jc w:val="right"/>
              <w:rPr>
                <w:rFonts w:cstheme="minorHAnsi"/>
              </w:rPr>
            </w:pPr>
            <w:r w:rsidRPr="00E91D26">
              <w:rPr>
                <w:rFonts w:cstheme="minorHAnsi"/>
              </w:rPr>
              <w:t>19,629</w:t>
            </w:r>
          </w:p>
        </w:tc>
        <w:tc>
          <w:tcPr>
            <w:tcW w:w="1710" w:type="dxa"/>
          </w:tcPr>
          <w:p w14:paraId="4D620A04" w14:textId="14D286D7" w:rsidR="0097466E" w:rsidRPr="00E91D26" w:rsidRDefault="0097466E" w:rsidP="0097466E">
            <w:pPr>
              <w:ind w:right="432"/>
              <w:jc w:val="right"/>
              <w:rPr>
                <w:rFonts w:cstheme="minorHAnsi"/>
              </w:rPr>
            </w:pPr>
            <w:r w:rsidRPr="00E91D26">
              <w:rPr>
                <w:rFonts w:cstheme="minorHAnsi"/>
              </w:rPr>
              <w:t>23,982</w:t>
            </w:r>
          </w:p>
        </w:tc>
        <w:tc>
          <w:tcPr>
            <w:tcW w:w="1438" w:type="dxa"/>
          </w:tcPr>
          <w:p w14:paraId="45272195" w14:textId="77777777" w:rsidR="0097466E" w:rsidRPr="00E91D26" w:rsidRDefault="0097466E" w:rsidP="0097466E">
            <w:pPr>
              <w:jc w:val="center"/>
              <w:rPr>
                <w:rFonts w:cstheme="minorHAnsi"/>
              </w:rPr>
            </w:pPr>
            <w:r w:rsidRPr="00E91D26">
              <w:rPr>
                <w:rFonts w:cstheme="minorHAnsi"/>
              </w:rPr>
              <w:t>Y</w:t>
            </w:r>
          </w:p>
        </w:tc>
        <w:tc>
          <w:tcPr>
            <w:tcW w:w="1438" w:type="dxa"/>
          </w:tcPr>
          <w:p w14:paraId="09401AB6" w14:textId="77777777" w:rsidR="0097466E" w:rsidRPr="00E91D26" w:rsidRDefault="0097466E" w:rsidP="0097466E">
            <w:pPr>
              <w:jc w:val="center"/>
              <w:rPr>
                <w:rFonts w:cstheme="minorHAnsi"/>
              </w:rPr>
            </w:pPr>
            <w:r w:rsidRPr="00E91D26">
              <w:rPr>
                <w:rFonts w:cstheme="minorHAnsi"/>
              </w:rPr>
              <w:t>Y</w:t>
            </w:r>
          </w:p>
        </w:tc>
        <w:tc>
          <w:tcPr>
            <w:tcW w:w="1439" w:type="dxa"/>
          </w:tcPr>
          <w:p w14:paraId="7B4D79D3" w14:textId="77777777" w:rsidR="0097466E" w:rsidRPr="00E91D26" w:rsidRDefault="0097466E" w:rsidP="0097466E">
            <w:pPr>
              <w:jc w:val="center"/>
              <w:rPr>
                <w:rFonts w:cstheme="minorHAnsi"/>
              </w:rPr>
            </w:pPr>
          </w:p>
        </w:tc>
      </w:tr>
      <w:tr w:rsidR="0097466E" w:rsidRPr="00E91D26" w14:paraId="7FBC9D80" w14:textId="77777777" w:rsidTr="00E3629D">
        <w:tc>
          <w:tcPr>
            <w:tcW w:w="1558" w:type="dxa"/>
          </w:tcPr>
          <w:p w14:paraId="281B9777" w14:textId="7A179212" w:rsidR="0097466E" w:rsidRPr="00E91D26" w:rsidRDefault="0097466E" w:rsidP="0097466E">
            <w:pPr>
              <w:rPr>
                <w:rFonts w:cstheme="minorHAnsi"/>
              </w:rPr>
            </w:pPr>
            <w:r w:rsidRPr="00E91D26">
              <w:rPr>
                <w:rFonts w:cstheme="minorHAnsi"/>
                <w:b/>
              </w:rPr>
              <w:t>Maryland</w:t>
            </w:r>
            <w:r w:rsidRPr="00E91D26">
              <w:rPr>
                <w:rFonts w:cstheme="minorHAnsi"/>
                <w:vertAlign w:val="superscript"/>
              </w:rPr>
              <w:t>3</w:t>
            </w:r>
          </w:p>
        </w:tc>
        <w:tc>
          <w:tcPr>
            <w:tcW w:w="1767" w:type="dxa"/>
          </w:tcPr>
          <w:p w14:paraId="458E7025" w14:textId="31549BC4" w:rsidR="0097466E" w:rsidRPr="00E91D26" w:rsidRDefault="0097466E" w:rsidP="0097466E">
            <w:pPr>
              <w:ind w:right="432"/>
              <w:jc w:val="right"/>
              <w:rPr>
                <w:rFonts w:cstheme="minorHAnsi"/>
              </w:rPr>
            </w:pPr>
            <w:r w:rsidRPr="00E91D26">
              <w:rPr>
                <w:rFonts w:cstheme="minorHAnsi"/>
                <w:b/>
              </w:rPr>
              <w:t>18,979</w:t>
            </w:r>
          </w:p>
        </w:tc>
        <w:tc>
          <w:tcPr>
            <w:tcW w:w="1710" w:type="dxa"/>
          </w:tcPr>
          <w:p w14:paraId="047112F6" w14:textId="52A21E15" w:rsidR="0097466E" w:rsidRPr="00E91D26" w:rsidRDefault="0097466E" w:rsidP="0097466E">
            <w:pPr>
              <w:ind w:right="432"/>
              <w:jc w:val="right"/>
              <w:rPr>
                <w:rFonts w:cstheme="minorHAnsi"/>
              </w:rPr>
            </w:pPr>
            <w:r w:rsidRPr="00E91D26">
              <w:rPr>
                <w:rFonts w:cstheme="minorHAnsi"/>
                <w:b/>
              </w:rPr>
              <w:t>23,973</w:t>
            </w:r>
          </w:p>
        </w:tc>
        <w:tc>
          <w:tcPr>
            <w:tcW w:w="1438" w:type="dxa"/>
          </w:tcPr>
          <w:p w14:paraId="00F120D7" w14:textId="77777777" w:rsidR="0097466E" w:rsidRPr="00E91D26" w:rsidRDefault="0097466E" w:rsidP="0097466E">
            <w:pPr>
              <w:jc w:val="center"/>
              <w:rPr>
                <w:rFonts w:cstheme="minorHAnsi"/>
              </w:rPr>
            </w:pPr>
          </w:p>
        </w:tc>
        <w:tc>
          <w:tcPr>
            <w:tcW w:w="1438" w:type="dxa"/>
          </w:tcPr>
          <w:p w14:paraId="3D8597CC" w14:textId="77777777" w:rsidR="0097466E" w:rsidRPr="00E91D26" w:rsidRDefault="0097466E" w:rsidP="0097466E">
            <w:pPr>
              <w:jc w:val="center"/>
              <w:rPr>
                <w:rFonts w:cstheme="minorHAnsi"/>
              </w:rPr>
            </w:pPr>
          </w:p>
        </w:tc>
        <w:tc>
          <w:tcPr>
            <w:tcW w:w="1439" w:type="dxa"/>
          </w:tcPr>
          <w:p w14:paraId="491D2FB9" w14:textId="77777777" w:rsidR="0097466E" w:rsidRPr="00E91D26" w:rsidRDefault="0097466E" w:rsidP="0097466E">
            <w:pPr>
              <w:jc w:val="center"/>
              <w:rPr>
                <w:rFonts w:cstheme="minorHAnsi"/>
              </w:rPr>
            </w:pPr>
          </w:p>
        </w:tc>
      </w:tr>
      <w:tr w:rsidR="0097466E" w:rsidRPr="00E91D26" w14:paraId="087CFD9D" w14:textId="77777777" w:rsidTr="00E3629D">
        <w:tc>
          <w:tcPr>
            <w:tcW w:w="1558" w:type="dxa"/>
          </w:tcPr>
          <w:p w14:paraId="01F33AC7" w14:textId="77777777" w:rsidR="0097466E" w:rsidRPr="00E91D26" w:rsidRDefault="0097466E" w:rsidP="0097466E">
            <w:pPr>
              <w:rPr>
                <w:rFonts w:cstheme="minorHAnsi"/>
              </w:rPr>
            </w:pPr>
            <w:r w:rsidRPr="00E91D26">
              <w:rPr>
                <w:rFonts w:cstheme="minorHAnsi"/>
              </w:rPr>
              <w:t>Illinois</w:t>
            </w:r>
          </w:p>
        </w:tc>
        <w:tc>
          <w:tcPr>
            <w:tcW w:w="1767" w:type="dxa"/>
          </w:tcPr>
          <w:p w14:paraId="6B22A0C2" w14:textId="67B006DF" w:rsidR="0097466E" w:rsidRPr="00E91D26" w:rsidRDefault="0097466E" w:rsidP="0097466E">
            <w:pPr>
              <w:ind w:right="432"/>
              <w:jc w:val="right"/>
              <w:rPr>
                <w:rFonts w:cstheme="minorHAnsi"/>
              </w:rPr>
            </w:pPr>
            <w:r w:rsidRPr="00E91D26">
              <w:rPr>
                <w:rFonts w:cstheme="minorHAnsi"/>
              </w:rPr>
              <w:t>17,</w:t>
            </w:r>
            <w:r w:rsidR="00E433C2" w:rsidRPr="00E91D26">
              <w:rPr>
                <w:rFonts w:cstheme="minorHAnsi"/>
              </w:rPr>
              <w:t>788</w:t>
            </w:r>
          </w:p>
        </w:tc>
        <w:tc>
          <w:tcPr>
            <w:tcW w:w="1710" w:type="dxa"/>
          </w:tcPr>
          <w:p w14:paraId="2A7E22B9" w14:textId="56757487" w:rsidR="0097466E" w:rsidRPr="00E91D26" w:rsidRDefault="0097466E" w:rsidP="0097466E">
            <w:pPr>
              <w:ind w:right="432"/>
              <w:jc w:val="right"/>
              <w:rPr>
                <w:rFonts w:cstheme="minorHAnsi"/>
              </w:rPr>
            </w:pPr>
            <w:r w:rsidRPr="00E91D26">
              <w:rPr>
                <w:rFonts w:cstheme="minorHAnsi"/>
              </w:rPr>
              <w:t>23,</w:t>
            </w:r>
            <w:r w:rsidR="00E433C2" w:rsidRPr="00E91D26">
              <w:rPr>
                <w:rFonts w:cstheme="minorHAnsi"/>
              </w:rPr>
              <w:t>717</w:t>
            </w:r>
          </w:p>
        </w:tc>
        <w:tc>
          <w:tcPr>
            <w:tcW w:w="1438" w:type="dxa"/>
          </w:tcPr>
          <w:p w14:paraId="4406E182" w14:textId="77777777" w:rsidR="0097466E" w:rsidRPr="00E91D26" w:rsidRDefault="0097466E" w:rsidP="0097466E">
            <w:pPr>
              <w:jc w:val="center"/>
              <w:rPr>
                <w:rFonts w:cstheme="minorHAnsi"/>
              </w:rPr>
            </w:pPr>
            <w:r w:rsidRPr="00E91D26">
              <w:rPr>
                <w:rFonts w:cstheme="minorHAnsi"/>
              </w:rPr>
              <w:t>Y</w:t>
            </w:r>
          </w:p>
        </w:tc>
        <w:tc>
          <w:tcPr>
            <w:tcW w:w="1438" w:type="dxa"/>
          </w:tcPr>
          <w:p w14:paraId="57060AF2" w14:textId="77777777" w:rsidR="0097466E" w:rsidRPr="00E91D26" w:rsidRDefault="0097466E" w:rsidP="0097466E">
            <w:pPr>
              <w:jc w:val="center"/>
              <w:rPr>
                <w:rFonts w:cstheme="minorHAnsi"/>
              </w:rPr>
            </w:pPr>
            <w:r w:rsidRPr="00E91D26">
              <w:rPr>
                <w:rFonts w:cstheme="minorHAnsi"/>
              </w:rPr>
              <w:t>Y</w:t>
            </w:r>
          </w:p>
        </w:tc>
        <w:tc>
          <w:tcPr>
            <w:tcW w:w="1439" w:type="dxa"/>
          </w:tcPr>
          <w:p w14:paraId="1DDED423" w14:textId="77777777" w:rsidR="0097466E" w:rsidRPr="00E91D26" w:rsidRDefault="0097466E" w:rsidP="0097466E">
            <w:pPr>
              <w:jc w:val="center"/>
              <w:rPr>
                <w:rFonts w:cstheme="minorHAnsi"/>
              </w:rPr>
            </w:pPr>
          </w:p>
        </w:tc>
      </w:tr>
      <w:tr w:rsidR="0097466E" w:rsidRPr="00E91D26" w14:paraId="14B95DD1" w14:textId="77777777" w:rsidTr="00E3629D">
        <w:tc>
          <w:tcPr>
            <w:tcW w:w="1558" w:type="dxa"/>
          </w:tcPr>
          <w:p w14:paraId="3E1A1AAB" w14:textId="77777777" w:rsidR="0097466E" w:rsidRPr="00E91D26" w:rsidRDefault="0097466E" w:rsidP="0097466E">
            <w:pPr>
              <w:rPr>
                <w:rFonts w:cstheme="minorHAnsi"/>
              </w:rPr>
            </w:pPr>
            <w:r w:rsidRPr="00E91D26">
              <w:rPr>
                <w:rFonts w:cstheme="minorHAnsi"/>
              </w:rPr>
              <w:t>Ohio State</w:t>
            </w:r>
          </w:p>
        </w:tc>
        <w:tc>
          <w:tcPr>
            <w:tcW w:w="1767" w:type="dxa"/>
          </w:tcPr>
          <w:p w14:paraId="0A7DF987" w14:textId="22086608" w:rsidR="0097466E" w:rsidRPr="00E91D26" w:rsidRDefault="0097466E" w:rsidP="0097466E">
            <w:pPr>
              <w:ind w:right="432"/>
              <w:jc w:val="right"/>
              <w:rPr>
                <w:rFonts w:cstheme="minorHAnsi"/>
              </w:rPr>
            </w:pPr>
            <w:r w:rsidRPr="00E91D26">
              <w:rPr>
                <w:rFonts w:cstheme="minorHAnsi"/>
              </w:rPr>
              <w:t>1</w:t>
            </w:r>
            <w:r w:rsidR="00362B49" w:rsidRPr="00E91D26">
              <w:rPr>
                <w:rFonts w:cstheme="minorHAnsi"/>
              </w:rPr>
              <w:t>7,280</w:t>
            </w:r>
          </w:p>
        </w:tc>
        <w:tc>
          <w:tcPr>
            <w:tcW w:w="1710" w:type="dxa"/>
          </w:tcPr>
          <w:p w14:paraId="1DDA56A2" w14:textId="110915ED" w:rsidR="0097466E" w:rsidRPr="00E91D26" w:rsidRDefault="0097466E" w:rsidP="0097466E">
            <w:pPr>
              <w:ind w:right="432"/>
              <w:jc w:val="right"/>
              <w:rPr>
                <w:rFonts w:cstheme="minorHAnsi"/>
              </w:rPr>
            </w:pPr>
            <w:r w:rsidRPr="00E91D26">
              <w:rPr>
                <w:rFonts w:cstheme="minorHAnsi"/>
              </w:rPr>
              <w:t>2</w:t>
            </w:r>
            <w:r w:rsidR="00362B49" w:rsidRPr="00E91D26">
              <w:rPr>
                <w:rFonts w:cstheme="minorHAnsi"/>
              </w:rPr>
              <w:t>3</w:t>
            </w:r>
            <w:r w:rsidRPr="00E91D26">
              <w:rPr>
                <w:rFonts w:cstheme="minorHAnsi"/>
              </w:rPr>
              <w:t>,0</w:t>
            </w:r>
            <w:r w:rsidR="00362B49" w:rsidRPr="00E91D26">
              <w:rPr>
                <w:rFonts w:cstheme="minorHAnsi"/>
              </w:rPr>
              <w:t>4</w:t>
            </w:r>
            <w:r w:rsidRPr="00E91D26">
              <w:rPr>
                <w:rFonts w:cstheme="minorHAnsi"/>
              </w:rPr>
              <w:t>0</w:t>
            </w:r>
          </w:p>
        </w:tc>
        <w:tc>
          <w:tcPr>
            <w:tcW w:w="1438" w:type="dxa"/>
          </w:tcPr>
          <w:p w14:paraId="5C3A4D3B" w14:textId="77777777" w:rsidR="0097466E" w:rsidRPr="00E91D26" w:rsidRDefault="0097466E" w:rsidP="0097466E">
            <w:pPr>
              <w:jc w:val="center"/>
              <w:rPr>
                <w:rFonts w:cstheme="minorHAnsi"/>
              </w:rPr>
            </w:pPr>
          </w:p>
        </w:tc>
        <w:tc>
          <w:tcPr>
            <w:tcW w:w="1438" w:type="dxa"/>
          </w:tcPr>
          <w:p w14:paraId="43B1BC1B" w14:textId="77777777" w:rsidR="0097466E" w:rsidRPr="00E91D26" w:rsidRDefault="0097466E" w:rsidP="0097466E">
            <w:pPr>
              <w:jc w:val="center"/>
              <w:rPr>
                <w:rFonts w:cstheme="minorHAnsi"/>
              </w:rPr>
            </w:pPr>
          </w:p>
        </w:tc>
        <w:tc>
          <w:tcPr>
            <w:tcW w:w="1439" w:type="dxa"/>
          </w:tcPr>
          <w:p w14:paraId="148A3253" w14:textId="77777777" w:rsidR="0097466E" w:rsidRPr="00E91D26" w:rsidRDefault="0097466E" w:rsidP="0097466E">
            <w:pPr>
              <w:jc w:val="center"/>
              <w:rPr>
                <w:rFonts w:cstheme="minorHAnsi"/>
              </w:rPr>
            </w:pPr>
          </w:p>
        </w:tc>
      </w:tr>
      <w:tr w:rsidR="0097466E" w:rsidRPr="00E91D26" w14:paraId="2AD22201" w14:textId="77777777" w:rsidTr="00E3629D">
        <w:tc>
          <w:tcPr>
            <w:tcW w:w="1558" w:type="dxa"/>
          </w:tcPr>
          <w:p w14:paraId="2650CF3A" w14:textId="4D8D5F6F" w:rsidR="0097466E" w:rsidRPr="00E91D26" w:rsidRDefault="0097466E" w:rsidP="0097466E">
            <w:pPr>
              <w:rPr>
                <w:rFonts w:cstheme="minorHAnsi"/>
              </w:rPr>
            </w:pPr>
            <w:r w:rsidRPr="00E91D26">
              <w:rPr>
                <w:rFonts w:cstheme="minorHAnsi"/>
              </w:rPr>
              <w:t>Michigan St</w:t>
            </w:r>
            <w:r w:rsidRPr="00E91D26">
              <w:rPr>
                <w:rFonts w:cstheme="minorHAnsi"/>
                <w:vertAlign w:val="superscript"/>
              </w:rPr>
              <w:t>4</w:t>
            </w:r>
          </w:p>
        </w:tc>
        <w:tc>
          <w:tcPr>
            <w:tcW w:w="1767" w:type="dxa"/>
          </w:tcPr>
          <w:p w14:paraId="052AB5AC" w14:textId="1C868143" w:rsidR="0097466E" w:rsidRPr="00E91D26" w:rsidRDefault="0097466E" w:rsidP="0097466E">
            <w:pPr>
              <w:ind w:right="432"/>
              <w:jc w:val="right"/>
              <w:rPr>
                <w:rFonts w:cstheme="minorHAnsi"/>
              </w:rPr>
            </w:pPr>
            <w:r w:rsidRPr="00E91D26">
              <w:rPr>
                <w:rFonts w:cstheme="minorHAnsi"/>
              </w:rPr>
              <w:t>16,244</w:t>
            </w:r>
          </w:p>
        </w:tc>
        <w:tc>
          <w:tcPr>
            <w:tcW w:w="1710" w:type="dxa"/>
          </w:tcPr>
          <w:p w14:paraId="5288338B" w14:textId="4E0123C0" w:rsidR="0097466E" w:rsidRPr="00E91D26" w:rsidRDefault="0097466E" w:rsidP="0097466E">
            <w:pPr>
              <w:ind w:right="432"/>
              <w:jc w:val="right"/>
              <w:rPr>
                <w:rFonts w:cstheme="minorHAnsi"/>
              </w:rPr>
            </w:pPr>
            <w:r w:rsidRPr="00E91D26">
              <w:rPr>
                <w:rFonts w:cstheme="minorHAnsi"/>
              </w:rPr>
              <w:t>21,580</w:t>
            </w:r>
          </w:p>
        </w:tc>
        <w:tc>
          <w:tcPr>
            <w:tcW w:w="1438" w:type="dxa"/>
          </w:tcPr>
          <w:p w14:paraId="4E2E2DD7" w14:textId="7EB2D6D5" w:rsidR="0097466E" w:rsidRPr="00E91D26" w:rsidRDefault="0097466E" w:rsidP="0097466E">
            <w:pPr>
              <w:jc w:val="center"/>
              <w:rPr>
                <w:rFonts w:cstheme="minorHAnsi"/>
              </w:rPr>
            </w:pPr>
            <w:r w:rsidRPr="00E91D26">
              <w:rPr>
                <w:rFonts w:cstheme="minorHAnsi"/>
              </w:rPr>
              <w:t>Y</w:t>
            </w:r>
          </w:p>
        </w:tc>
        <w:tc>
          <w:tcPr>
            <w:tcW w:w="1438" w:type="dxa"/>
          </w:tcPr>
          <w:p w14:paraId="5CA182D8" w14:textId="77777777" w:rsidR="0097466E" w:rsidRPr="00E91D26" w:rsidRDefault="0097466E" w:rsidP="0097466E">
            <w:pPr>
              <w:jc w:val="center"/>
              <w:rPr>
                <w:rFonts w:cstheme="minorHAnsi"/>
              </w:rPr>
            </w:pPr>
          </w:p>
        </w:tc>
        <w:tc>
          <w:tcPr>
            <w:tcW w:w="1439" w:type="dxa"/>
          </w:tcPr>
          <w:p w14:paraId="3B258E55" w14:textId="77777777" w:rsidR="0097466E" w:rsidRPr="00E91D26" w:rsidRDefault="0097466E" w:rsidP="0097466E">
            <w:pPr>
              <w:jc w:val="center"/>
              <w:rPr>
                <w:rFonts w:cstheme="minorHAnsi"/>
              </w:rPr>
            </w:pPr>
          </w:p>
        </w:tc>
      </w:tr>
      <w:tr w:rsidR="0097466E" w:rsidRPr="00E91D26" w14:paraId="25F7D0FF" w14:textId="77777777" w:rsidTr="00E3629D">
        <w:tc>
          <w:tcPr>
            <w:tcW w:w="1558" w:type="dxa"/>
          </w:tcPr>
          <w:p w14:paraId="5A6F5302" w14:textId="77777777" w:rsidR="0097466E" w:rsidRPr="00E91D26" w:rsidRDefault="0097466E" w:rsidP="0097466E">
            <w:pPr>
              <w:rPr>
                <w:rFonts w:cstheme="minorHAnsi"/>
              </w:rPr>
            </w:pPr>
            <w:r w:rsidRPr="00E91D26">
              <w:rPr>
                <w:rFonts w:cstheme="minorHAnsi"/>
              </w:rPr>
              <w:t>Purdue</w:t>
            </w:r>
          </w:p>
        </w:tc>
        <w:tc>
          <w:tcPr>
            <w:tcW w:w="1767" w:type="dxa"/>
          </w:tcPr>
          <w:p w14:paraId="7BD05AF9" w14:textId="4AE43358" w:rsidR="0097466E" w:rsidRPr="00E91D26" w:rsidRDefault="0097466E" w:rsidP="0097466E">
            <w:pPr>
              <w:ind w:right="432"/>
              <w:jc w:val="right"/>
              <w:rPr>
                <w:rFonts w:cstheme="minorHAnsi"/>
              </w:rPr>
            </w:pPr>
            <w:r w:rsidRPr="00E91D26">
              <w:rPr>
                <w:rFonts w:cstheme="minorHAnsi"/>
              </w:rPr>
              <w:t>15,</w:t>
            </w:r>
            <w:r w:rsidR="00362B49" w:rsidRPr="00E91D26">
              <w:rPr>
                <w:rFonts w:cstheme="minorHAnsi"/>
              </w:rPr>
              <w:t>448</w:t>
            </w:r>
          </w:p>
        </w:tc>
        <w:tc>
          <w:tcPr>
            <w:tcW w:w="1710" w:type="dxa"/>
          </w:tcPr>
          <w:p w14:paraId="033F0E34" w14:textId="68F54615" w:rsidR="0097466E" w:rsidRPr="00E91D26" w:rsidRDefault="0097466E" w:rsidP="0097466E">
            <w:pPr>
              <w:ind w:right="432"/>
              <w:jc w:val="right"/>
              <w:rPr>
                <w:rFonts w:cstheme="minorHAnsi"/>
              </w:rPr>
            </w:pPr>
            <w:r w:rsidRPr="00E91D26">
              <w:rPr>
                <w:rFonts w:cstheme="minorHAnsi"/>
              </w:rPr>
              <w:t>18,</w:t>
            </w:r>
            <w:r w:rsidR="00362B49" w:rsidRPr="00E91D26">
              <w:rPr>
                <w:rFonts w:cstheme="minorHAnsi"/>
              </w:rPr>
              <w:t>538</w:t>
            </w:r>
          </w:p>
        </w:tc>
        <w:tc>
          <w:tcPr>
            <w:tcW w:w="1438" w:type="dxa"/>
          </w:tcPr>
          <w:p w14:paraId="25108B3A" w14:textId="77777777" w:rsidR="0097466E" w:rsidRPr="00E91D26" w:rsidRDefault="0097466E" w:rsidP="0097466E">
            <w:pPr>
              <w:jc w:val="center"/>
              <w:rPr>
                <w:rFonts w:cstheme="minorHAnsi"/>
              </w:rPr>
            </w:pPr>
          </w:p>
        </w:tc>
        <w:tc>
          <w:tcPr>
            <w:tcW w:w="1438" w:type="dxa"/>
          </w:tcPr>
          <w:p w14:paraId="06B9FB9B" w14:textId="77777777" w:rsidR="0097466E" w:rsidRPr="00E91D26" w:rsidRDefault="0097466E" w:rsidP="0097466E">
            <w:pPr>
              <w:jc w:val="center"/>
              <w:rPr>
                <w:rFonts w:cstheme="minorHAnsi"/>
              </w:rPr>
            </w:pPr>
          </w:p>
        </w:tc>
        <w:tc>
          <w:tcPr>
            <w:tcW w:w="1439" w:type="dxa"/>
          </w:tcPr>
          <w:p w14:paraId="27F61106" w14:textId="77777777" w:rsidR="0097466E" w:rsidRPr="00E91D26" w:rsidRDefault="0097466E" w:rsidP="0097466E">
            <w:pPr>
              <w:jc w:val="center"/>
              <w:rPr>
                <w:rFonts w:cstheme="minorHAnsi"/>
              </w:rPr>
            </w:pPr>
          </w:p>
        </w:tc>
      </w:tr>
      <w:tr w:rsidR="0097466E" w:rsidRPr="00E91D26" w14:paraId="20048894" w14:textId="77777777" w:rsidTr="00E3629D">
        <w:tc>
          <w:tcPr>
            <w:tcW w:w="1558" w:type="dxa"/>
          </w:tcPr>
          <w:p w14:paraId="2F199ADC" w14:textId="77777777" w:rsidR="0097466E" w:rsidRPr="00E91D26" w:rsidRDefault="0097466E" w:rsidP="0097466E">
            <w:pPr>
              <w:rPr>
                <w:rFonts w:cstheme="minorHAnsi"/>
              </w:rPr>
            </w:pPr>
            <w:r w:rsidRPr="00E91D26">
              <w:rPr>
                <w:rFonts w:cstheme="minorHAnsi"/>
              </w:rPr>
              <w:t>Minnesota</w:t>
            </w:r>
          </w:p>
        </w:tc>
        <w:tc>
          <w:tcPr>
            <w:tcW w:w="1767" w:type="dxa"/>
          </w:tcPr>
          <w:p w14:paraId="0456A3B2" w14:textId="62D29CF0" w:rsidR="0097466E" w:rsidRPr="00E91D26" w:rsidRDefault="0097466E" w:rsidP="0097466E">
            <w:pPr>
              <w:ind w:right="432"/>
              <w:jc w:val="right"/>
              <w:rPr>
                <w:rFonts w:cstheme="minorHAnsi"/>
              </w:rPr>
            </w:pPr>
            <w:r w:rsidRPr="00E91D26">
              <w:rPr>
                <w:rFonts w:cstheme="minorHAnsi"/>
              </w:rPr>
              <w:t>15,</w:t>
            </w:r>
            <w:r w:rsidR="00362B49" w:rsidRPr="00E91D26">
              <w:rPr>
                <w:rFonts w:cstheme="minorHAnsi"/>
              </w:rPr>
              <w:t>343</w:t>
            </w:r>
          </w:p>
        </w:tc>
        <w:tc>
          <w:tcPr>
            <w:tcW w:w="1710" w:type="dxa"/>
          </w:tcPr>
          <w:p w14:paraId="0AD298DE" w14:textId="022DAF13" w:rsidR="0097466E" w:rsidRPr="00E91D26" w:rsidRDefault="0097466E" w:rsidP="0097466E">
            <w:pPr>
              <w:ind w:right="432"/>
              <w:jc w:val="right"/>
              <w:rPr>
                <w:rFonts w:cstheme="minorHAnsi"/>
              </w:rPr>
            </w:pPr>
            <w:r w:rsidRPr="00E91D26">
              <w:rPr>
                <w:rFonts w:cstheme="minorHAnsi"/>
              </w:rPr>
              <w:t>20,</w:t>
            </w:r>
            <w:r w:rsidR="00362B49" w:rsidRPr="00E91D26">
              <w:rPr>
                <w:rFonts w:cstheme="minorHAnsi"/>
              </w:rPr>
              <w:t>456</w:t>
            </w:r>
          </w:p>
        </w:tc>
        <w:tc>
          <w:tcPr>
            <w:tcW w:w="1438" w:type="dxa"/>
          </w:tcPr>
          <w:p w14:paraId="4C3F2EC6" w14:textId="77777777" w:rsidR="0097466E" w:rsidRPr="00E91D26" w:rsidRDefault="0097466E" w:rsidP="0097466E">
            <w:pPr>
              <w:jc w:val="center"/>
              <w:rPr>
                <w:rFonts w:cstheme="minorHAnsi"/>
              </w:rPr>
            </w:pPr>
          </w:p>
        </w:tc>
        <w:tc>
          <w:tcPr>
            <w:tcW w:w="1438" w:type="dxa"/>
          </w:tcPr>
          <w:p w14:paraId="2EF24FA0" w14:textId="77777777" w:rsidR="0097466E" w:rsidRPr="00E91D26" w:rsidRDefault="0097466E" w:rsidP="0097466E">
            <w:pPr>
              <w:jc w:val="center"/>
              <w:rPr>
                <w:rFonts w:cstheme="minorHAnsi"/>
              </w:rPr>
            </w:pPr>
          </w:p>
        </w:tc>
        <w:tc>
          <w:tcPr>
            <w:tcW w:w="1439" w:type="dxa"/>
          </w:tcPr>
          <w:p w14:paraId="20E583F8" w14:textId="77777777" w:rsidR="0097466E" w:rsidRPr="00E91D26" w:rsidRDefault="0097466E" w:rsidP="0097466E">
            <w:pPr>
              <w:jc w:val="center"/>
              <w:rPr>
                <w:rFonts w:cstheme="minorHAnsi"/>
              </w:rPr>
            </w:pPr>
          </w:p>
        </w:tc>
      </w:tr>
      <w:tr w:rsidR="0075035B" w:rsidRPr="00E91D26" w14:paraId="6E82B312" w14:textId="77777777" w:rsidTr="00E3629D">
        <w:tc>
          <w:tcPr>
            <w:tcW w:w="1558" w:type="dxa"/>
          </w:tcPr>
          <w:p w14:paraId="00EEB90A" w14:textId="293E6750" w:rsidR="0075035B" w:rsidRPr="00E91D26" w:rsidRDefault="0075035B" w:rsidP="0075035B">
            <w:pPr>
              <w:rPr>
                <w:rFonts w:cstheme="minorHAnsi"/>
              </w:rPr>
            </w:pPr>
            <w:r w:rsidRPr="00E91D26">
              <w:rPr>
                <w:rFonts w:cstheme="minorHAnsi"/>
              </w:rPr>
              <w:t>Nebraska</w:t>
            </w:r>
          </w:p>
        </w:tc>
        <w:tc>
          <w:tcPr>
            <w:tcW w:w="1767" w:type="dxa"/>
          </w:tcPr>
          <w:p w14:paraId="613D6735" w14:textId="5A0E37C9" w:rsidR="0075035B" w:rsidRPr="00E91D26" w:rsidRDefault="0075035B" w:rsidP="0075035B">
            <w:pPr>
              <w:ind w:right="432"/>
              <w:jc w:val="right"/>
              <w:rPr>
                <w:rFonts w:cstheme="minorHAnsi"/>
              </w:rPr>
            </w:pPr>
            <w:r w:rsidRPr="00E91D26">
              <w:rPr>
                <w:rFonts w:cstheme="minorHAnsi"/>
              </w:rPr>
              <w:t>10,000</w:t>
            </w:r>
          </w:p>
        </w:tc>
        <w:tc>
          <w:tcPr>
            <w:tcW w:w="1710" w:type="dxa"/>
          </w:tcPr>
          <w:p w14:paraId="0BAD4D66" w14:textId="6E7EFE0C" w:rsidR="0075035B" w:rsidRPr="00E91D26" w:rsidRDefault="0075035B" w:rsidP="0075035B">
            <w:pPr>
              <w:ind w:right="432"/>
              <w:jc w:val="right"/>
              <w:rPr>
                <w:rFonts w:cstheme="minorHAnsi"/>
              </w:rPr>
            </w:pPr>
            <w:r w:rsidRPr="00E91D26">
              <w:rPr>
                <w:rFonts w:cstheme="minorHAnsi"/>
              </w:rPr>
              <w:t>13,333</w:t>
            </w:r>
          </w:p>
        </w:tc>
        <w:tc>
          <w:tcPr>
            <w:tcW w:w="1438" w:type="dxa"/>
          </w:tcPr>
          <w:p w14:paraId="127F0BA3" w14:textId="77777777" w:rsidR="0075035B" w:rsidRPr="00E91D26" w:rsidRDefault="0075035B" w:rsidP="0075035B">
            <w:pPr>
              <w:jc w:val="center"/>
              <w:rPr>
                <w:rFonts w:cstheme="minorHAnsi"/>
              </w:rPr>
            </w:pPr>
          </w:p>
        </w:tc>
        <w:tc>
          <w:tcPr>
            <w:tcW w:w="1438" w:type="dxa"/>
          </w:tcPr>
          <w:p w14:paraId="2EEE2DEE" w14:textId="77777777" w:rsidR="0075035B" w:rsidRPr="00E91D26" w:rsidRDefault="0075035B" w:rsidP="0075035B">
            <w:pPr>
              <w:jc w:val="center"/>
              <w:rPr>
                <w:rFonts w:cstheme="minorHAnsi"/>
              </w:rPr>
            </w:pPr>
          </w:p>
        </w:tc>
        <w:tc>
          <w:tcPr>
            <w:tcW w:w="1439" w:type="dxa"/>
          </w:tcPr>
          <w:p w14:paraId="0264C268" w14:textId="77777777" w:rsidR="0075035B" w:rsidRPr="00E91D26" w:rsidRDefault="0075035B" w:rsidP="0075035B">
            <w:pPr>
              <w:jc w:val="center"/>
              <w:rPr>
                <w:rFonts w:cstheme="minorHAnsi"/>
              </w:rPr>
            </w:pPr>
          </w:p>
        </w:tc>
      </w:tr>
      <w:tr w:rsidR="0075035B" w:rsidRPr="00E91D26" w14:paraId="4EA025DA" w14:textId="77777777" w:rsidTr="00E3629D">
        <w:tc>
          <w:tcPr>
            <w:tcW w:w="1558" w:type="dxa"/>
          </w:tcPr>
          <w:p w14:paraId="68F8542E" w14:textId="77777777" w:rsidR="0075035B" w:rsidRPr="00E91D26" w:rsidRDefault="0075035B" w:rsidP="0075035B">
            <w:pPr>
              <w:rPr>
                <w:rFonts w:cstheme="minorHAnsi"/>
              </w:rPr>
            </w:pPr>
            <w:r w:rsidRPr="00E91D26">
              <w:rPr>
                <w:rFonts w:cstheme="minorHAnsi"/>
              </w:rPr>
              <w:t>Indiana</w:t>
            </w:r>
          </w:p>
        </w:tc>
        <w:tc>
          <w:tcPr>
            <w:tcW w:w="1767" w:type="dxa"/>
          </w:tcPr>
          <w:p w14:paraId="19C24E51" w14:textId="38157D27" w:rsidR="0075035B" w:rsidRPr="00E91D26" w:rsidRDefault="0075035B" w:rsidP="0075035B">
            <w:pPr>
              <w:ind w:right="432"/>
              <w:jc w:val="right"/>
              <w:rPr>
                <w:rFonts w:cstheme="minorHAnsi"/>
              </w:rPr>
            </w:pPr>
            <w:r w:rsidRPr="00E91D26">
              <w:rPr>
                <w:rFonts w:cstheme="minorHAnsi"/>
              </w:rPr>
              <w:t>9,</w:t>
            </w:r>
            <w:r>
              <w:rPr>
                <w:rFonts w:cstheme="minorHAnsi"/>
              </w:rPr>
              <w:t>910</w:t>
            </w:r>
          </w:p>
        </w:tc>
        <w:tc>
          <w:tcPr>
            <w:tcW w:w="1710" w:type="dxa"/>
          </w:tcPr>
          <w:p w14:paraId="4E433897" w14:textId="24FAABC5" w:rsidR="0075035B" w:rsidRPr="00E91D26" w:rsidRDefault="0075035B" w:rsidP="0075035B">
            <w:pPr>
              <w:ind w:right="432"/>
              <w:jc w:val="right"/>
              <w:rPr>
                <w:rFonts w:cstheme="minorHAnsi"/>
              </w:rPr>
            </w:pPr>
            <w:r w:rsidRPr="00E91D26">
              <w:rPr>
                <w:rFonts w:cstheme="minorHAnsi"/>
              </w:rPr>
              <w:t>11,</w:t>
            </w:r>
            <w:r>
              <w:rPr>
                <w:rFonts w:cstheme="minorHAnsi"/>
              </w:rPr>
              <w:t>892</w:t>
            </w:r>
          </w:p>
        </w:tc>
        <w:tc>
          <w:tcPr>
            <w:tcW w:w="1438" w:type="dxa"/>
          </w:tcPr>
          <w:p w14:paraId="03DED76B" w14:textId="77777777" w:rsidR="0075035B" w:rsidRPr="00E91D26" w:rsidRDefault="0075035B" w:rsidP="0075035B">
            <w:pPr>
              <w:jc w:val="center"/>
              <w:rPr>
                <w:rFonts w:cstheme="minorHAnsi"/>
              </w:rPr>
            </w:pPr>
          </w:p>
        </w:tc>
        <w:tc>
          <w:tcPr>
            <w:tcW w:w="1438" w:type="dxa"/>
          </w:tcPr>
          <w:p w14:paraId="16FAE031" w14:textId="77777777" w:rsidR="0075035B" w:rsidRPr="00E91D26" w:rsidRDefault="0075035B" w:rsidP="0075035B">
            <w:pPr>
              <w:jc w:val="center"/>
              <w:rPr>
                <w:rFonts w:cstheme="minorHAnsi"/>
              </w:rPr>
            </w:pPr>
          </w:p>
        </w:tc>
        <w:tc>
          <w:tcPr>
            <w:tcW w:w="1439" w:type="dxa"/>
          </w:tcPr>
          <w:p w14:paraId="317773BF" w14:textId="77777777" w:rsidR="0075035B" w:rsidRPr="00E91D26" w:rsidRDefault="0075035B" w:rsidP="0075035B">
            <w:pPr>
              <w:jc w:val="center"/>
              <w:rPr>
                <w:rFonts w:cstheme="minorHAnsi"/>
              </w:rPr>
            </w:pPr>
          </w:p>
        </w:tc>
      </w:tr>
      <w:tr w:rsidR="0075035B" w14:paraId="696DDFDA" w14:textId="77777777" w:rsidTr="00E3629D">
        <w:tc>
          <w:tcPr>
            <w:tcW w:w="9350" w:type="dxa"/>
            <w:gridSpan w:val="6"/>
            <w:tcBorders>
              <w:top w:val="single" w:sz="4" w:space="0" w:color="auto"/>
              <w:bottom w:val="single" w:sz="4" w:space="0" w:color="auto"/>
            </w:tcBorders>
          </w:tcPr>
          <w:p w14:paraId="39D862F9" w14:textId="3A100C1F" w:rsidR="0075035B" w:rsidRDefault="0075035B" w:rsidP="0075035B">
            <w:pPr>
              <w:spacing w:before="240"/>
              <w:rPr>
                <w:rFonts w:cstheme="minorHAnsi"/>
                <w:sz w:val="18"/>
                <w:szCs w:val="20"/>
              </w:rPr>
            </w:pPr>
            <w:r w:rsidRPr="0089474A">
              <w:rPr>
                <w:rFonts w:cstheme="minorHAnsi"/>
                <w:sz w:val="18"/>
                <w:szCs w:val="20"/>
                <w:vertAlign w:val="superscript"/>
              </w:rPr>
              <w:t>1</w:t>
            </w:r>
            <w:r w:rsidRPr="0089474A">
              <w:rPr>
                <w:rFonts w:cstheme="minorHAnsi"/>
                <w:sz w:val="18"/>
                <w:szCs w:val="20"/>
              </w:rPr>
              <w:t>Standard appointment is 15 hours per week.</w:t>
            </w:r>
          </w:p>
          <w:p w14:paraId="14ADDB1B" w14:textId="7A9EE2A4" w:rsidR="0075035B" w:rsidRPr="0089474A" w:rsidRDefault="0075035B" w:rsidP="0075035B">
            <w:pPr>
              <w:rPr>
                <w:rFonts w:cstheme="minorHAnsi"/>
                <w:sz w:val="18"/>
                <w:szCs w:val="20"/>
              </w:rPr>
            </w:pPr>
            <w:r w:rsidRPr="00E3629D">
              <w:rPr>
                <w:rFonts w:cstheme="minorHAnsi"/>
                <w:sz w:val="18"/>
                <w:szCs w:val="20"/>
                <w:vertAlign w:val="superscript"/>
              </w:rPr>
              <w:t>2</w:t>
            </w:r>
            <w:r>
              <w:rPr>
                <w:rFonts w:cstheme="minorHAnsi"/>
                <w:sz w:val="18"/>
                <w:szCs w:val="20"/>
              </w:rPr>
              <w:t>No minimum full-year stipend.</w:t>
            </w:r>
          </w:p>
          <w:p w14:paraId="3D59B9CE" w14:textId="69B1FC87" w:rsidR="0075035B" w:rsidRPr="0089474A" w:rsidRDefault="0075035B" w:rsidP="0075035B">
            <w:pPr>
              <w:rPr>
                <w:rFonts w:cstheme="minorHAnsi"/>
                <w:sz w:val="18"/>
                <w:szCs w:val="20"/>
              </w:rPr>
            </w:pPr>
            <w:r>
              <w:rPr>
                <w:rFonts w:cstheme="minorHAnsi"/>
                <w:sz w:val="18"/>
                <w:szCs w:val="20"/>
                <w:vertAlign w:val="superscript"/>
              </w:rPr>
              <w:t>3</w:t>
            </w:r>
            <w:r w:rsidRPr="0089474A">
              <w:rPr>
                <w:rFonts w:cstheme="minorHAnsi"/>
                <w:sz w:val="18"/>
                <w:szCs w:val="20"/>
              </w:rPr>
              <w:t xml:space="preserve">For 9.5-month appointments as of </w:t>
            </w:r>
            <w:r>
              <w:rPr>
                <w:rFonts w:cstheme="minorHAnsi"/>
                <w:sz w:val="18"/>
                <w:szCs w:val="20"/>
              </w:rPr>
              <w:t>1</w:t>
            </w:r>
            <w:r w:rsidRPr="0089474A">
              <w:rPr>
                <w:rFonts w:cstheme="minorHAnsi"/>
                <w:sz w:val="18"/>
                <w:szCs w:val="20"/>
              </w:rPr>
              <w:t>/1/</w:t>
            </w:r>
            <w:r>
              <w:rPr>
                <w:rFonts w:cstheme="minorHAnsi"/>
                <w:sz w:val="18"/>
                <w:szCs w:val="20"/>
              </w:rPr>
              <w:t>20</w:t>
            </w:r>
            <w:r w:rsidRPr="0089474A">
              <w:rPr>
                <w:rFonts w:cstheme="minorHAnsi"/>
                <w:sz w:val="18"/>
                <w:szCs w:val="20"/>
              </w:rPr>
              <w:t>. All TAs, and 6</w:t>
            </w:r>
            <w:r>
              <w:rPr>
                <w:rFonts w:cstheme="minorHAnsi"/>
                <w:sz w:val="18"/>
                <w:szCs w:val="20"/>
              </w:rPr>
              <w:t>8</w:t>
            </w:r>
            <w:r w:rsidRPr="0089474A">
              <w:rPr>
                <w:rFonts w:cstheme="minorHAnsi"/>
                <w:sz w:val="18"/>
                <w:szCs w:val="20"/>
              </w:rPr>
              <w:t>% of all academic-year GA appointments, are 9.5-month appointments.  The minimum stipend for 9-month appointments is $1</w:t>
            </w:r>
            <w:r>
              <w:rPr>
                <w:rFonts w:cstheme="minorHAnsi"/>
                <w:sz w:val="18"/>
                <w:szCs w:val="20"/>
              </w:rPr>
              <w:t>7,980</w:t>
            </w:r>
            <w:r w:rsidRPr="0089474A">
              <w:rPr>
                <w:rFonts w:cstheme="minorHAnsi"/>
                <w:sz w:val="18"/>
                <w:szCs w:val="20"/>
              </w:rPr>
              <w:t>.</w:t>
            </w:r>
          </w:p>
          <w:p w14:paraId="3639FB63" w14:textId="5D5A5CBC" w:rsidR="0075035B" w:rsidRDefault="0075035B" w:rsidP="0075035B">
            <w:pPr>
              <w:rPr>
                <w:rFonts w:cstheme="minorHAnsi"/>
              </w:rPr>
            </w:pPr>
            <w:r>
              <w:rPr>
                <w:rFonts w:cstheme="minorHAnsi"/>
                <w:sz w:val="18"/>
                <w:szCs w:val="20"/>
                <w:vertAlign w:val="superscript"/>
              </w:rPr>
              <w:t>4</w:t>
            </w:r>
            <w:r w:rsidRPr="0089474A">
              <w:rPr>
                <w:rFonts w:cstheme="minorHAnsi"/>
                <w:sz w:val="18"/>
                <w:szCs w:val="20"/>
              </w:rPr>
              <w:t xml:space="preserve">For TA.  The minimum academic-year stipend for non-union </w:t>
            </w:r>
            <w:r>
              <w:rPr>
                <w:rFonts w:cstheme="minorHAnsi"/>
                <w:sz w:val="18"/>
                <w:szCs w:val="20"/>
              </w:rPr>
              <w:t>A</w:t>
            </w:r>
            <w:r w:rsidRPr="0089474A">
              <w:rPr>
                <w:rFonts w:cstheme="minorHAnsi"/>
                <w:sz w:val="18"/>
                <w:szCs w:val="20"/>
              </w:rPr>
              <w:t>A</w:t>
            </w:r>
            <w:r>
              <w:rPr>
                <w:rFonts w:cstheme="minorHAnsi"/>
                <w:sz w:val="18"/>
                <w:szCs w:val="20"/>
              </w:rPr>
              <w:t>s</w:t>
            </w:r>
            <w:r w:rsidRPr="0089474A">
              <w:rPr>
                <w:rFonts w:cstheme="minorHAnsi"/>
                <w:sz w:val="18"/>
                <w:szCs w:val="20"/>
              </w:rPr>
              <w:t xml:space="preserve"> and </w:t>
            </w:r>
            <w:r>
              <w:rPr>
                <w:rFonts w:cstheme="minorHAnsi"/>
                <w:sz w:val="18"/>
                <w:szCs w:val="20"/>
              </w:rPr>
              <w:t>R</w:t>
            </w:r>
            <w:r w:rsidRPr="0089474A">
              <w:rPr>
                <w:rFonts w:cstheme="minorHAnsi"/>
                <w:sz w:val="18"/>
                <w:szCs w:val="20"/>
              </w:rPr>
              <w:t>A</w:t>
            </w:r>
            <w:r>
              <w:rPr>
                <w:rFonts w:cstheme="minorHAnsi"/>
                <w:sz w:val="18"/>
                <w:szCs w:val="20"/>
              </w:rPr>
              <w:t>s</w:t>
            </w:r>
            <w:r w:rsidRPr="0089474A">
              <w:rPr>
                <w:rFonts w:cstheme="minorHAnsi"/>
                <w:sz w:val="18"/>
                <w:szCs w:val="20"/>
              </w:rPr>
              <w:t xml:space="preserve"> is $13,8</w:t>
            </w:r>
            <w:r>
              <w:rPr>
                <w:rFonts w:cstheme="minorHAnsi"/>
                <w:sz w:val="18"/>
                <w:szCs w:val="20"/>
              </w:rPr>
              <w:t>95</w:t>
            </w:r>
            <w:r w:rsidRPr="0089474A">
              <w:rPr>
                <w:rFonts w:cstheme="minorHAnsi"/>
                <w:sz w:val="18"/>
                <w:szCs w:val="20"/>
              </w:rPr>
              <w:t>.</w:t>
            </w:r>
          </w:p>
        </w:tc>
      </w:tr>
    </w:tbl>
    <w:p w14:paraId="6ED0C142" w14:textId="77777777" w:rsidR="0089474A" w:rsidRPr="0089474A" w:rsidRDefault="0089474A" w:rsidP="0089474A">
      <w:pPr>
        <w:rPr>
          <w:rFonts w:asciiTheme="minorHAnsi" w:hAnsiTheme="minorHAnsi" w:cstheme="minorHAnsi"/>
        </w:rPr>
      </w:pPr>
    </w:p>
    <w:p w14:paraId="74D273C9" w14:textId="77777777" w:rsidR="0089474A" w:rsidRDefault="0089474A" w:rsidP="00586457">
      <w:pPr>
        <w:spacing w:after="360"/>
        <w:jc w:val="center"/>
      </w:pPr>
    </w:p>
    <w:p w14:paraId="45A248B3" w14:textId="168AE072" w:rsidR="0089474A" w:rsidRPr="0089474A" w:rsidRDefault="0089474A" w:rsidP="0089474A">
      <w:pPr>
        <w:jc w:val="center"/>
        <w:rPr>
          <w:rFonts w:asciiTheme="minorHAnsi" w:hAnsiTheme="minorHAnsi" w:cstheme="minorHAnsi"/>
          <w:b/>
        </w:rPr>
      </w:pPr>
      <w:r w:rsidRPr="0089474A">
        <w:rPr>
          <w:rFonts w:asciiTheme="minorHAnsi" w:hAnsiTheme="minorHAnsi" w:cstheme="minorHAnsi"/>
          <w:b/>
        </w:rPr>
        <w:t xml:space="preserve">Average Cost of Attendance </w:t>
      </w:r>
      <w:r w:rsidR="0090656C">
        <w:rPr>
          <w:rFonts w:asciiTheme="minorHAnsi" w:hAnsiTheme="minorHAnsi" w:cstheme="minorHAnsi"/>
          <w:b/>
        </w:rPr>
        <w:t>and Average Stipend</w:t>
      </w:r>
      <w:r w:rsidR="0097466E">
        <w:rPr>
          <w:rFonts w:asciiTheme="minorHAnsi" w:hAnsiTheme="minorHAnsi" w:cstheme="minorHAnsi"/>
          <w:b/>
        </w:rPr>
        <w:t xml:space="preserve">, </w:t>
      </w:r>
      <w:r w:rsidRPr="0089474A">
        <w:rPr>
          <w:rFonts w:asciiTheme="minorHAnsi" w:hAnsiTheme="minorHAnsi" w:cstheme="minorHAnsi"/>
          <w:b/>
        </w:rPr>
        <w:t>AY1</w:t>
      </w:r>
      <w:r w:rsidR="006B1C39">
        <w:rPr>
          <w:rFonts w:asciiTheme="minorHAnsi" w:hAnsiTheme="minorHAnsi" w:cstheme="minorHAnsi"/>
          <w:b/>
        </w:rPr>
        <w:t>9</w:t>
      </w:r>
      <w:r w:rsidRPr="0089474A">
        <w:rPr>
          <w:rFonts w:asciiTheme="minorHAnsi" w:hAnsiTheme="minorHAnsi" w:cstheme="minorHAnsi"/>
          <w:b/>
        </w:rPr>
        <w:t>-</w:t>
      </w:r>
      <w:r w:rsidR="006B1C39">
        <w:rPr>
          <w:rFonts w:asciiTheme="minorHAnsi" w:hAnsiTheme="minorHAnsi" w:cstheme="minorHAnsi"/>
          <w:b/>
        </w:rPr>
        <w:t>20</w:t>
      </w:r>
      <w:r w:rsidR="0097466E">
        <w:rPr>
          <w:rFonts w:asciiTheme="minorHAnsi" w:hAnsiTheme="minorHAnsi" w:cstheme="minorHAnsi"/>
          <w:b/>
        </w:rPr>
        <w:t xml:space="preserve"> (9 months</w:t>
      </w:r>
      <w:r w:rsidRPr="0089474A">
        <w:rPr>
          <w:rFonts w:asciiTheme="minorHAnsi" w:hAnsiTheme="minorHAnsi" w:cstheme="minorHAnsi"/>
          <w:b/>
        </w:rPr>
        <w:t>)</w:t>
      </w:r>
    </w:p>
    <w:p w14:paraId="7DCBC534" w14:textId="77777777" w:rsidR="0089474A" w:rsidRPr="0089474A" w:rsidRDefault="0089474A" w:rsidP="0089474A">
      <w:pPr>
        <w:rPr>
          <w:rFonts w:asciiTheme="minorHAnsi" w:hAnsiTheme="minorHAnsi" w:cstheme="minorHAnsi"/>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160"/>
        <w:gridCol w:w="2160"/>
      </w:tblGrid>
      <w:tr w:rsidR="0089474A" w:rsidRPr="0089474A" w14:paraId="3618FFB6" w14:textId="77777777" w:rsidTr="0089474A">
        <w:trPr>
          <w:jc w:val="center"/>
        </w:trPr>
        <w:tc>
          <w:tcPr>
            <w:tcW w:w="4135" w:type="dxa"/>
            <w:tcBorders>
              <w:top w:val="single" w:sz="4" w:space="0" w:color="auto"/>
              <w:bottom w:val="single" w:sz="4" w:space="0" w:color="auto"/>
            </w:tcBorders>
            <w:vAlign w:val="bottom"/>
          </w:tcPr>
          <w:p w14:paraId="0D59555A" w14:textId="77777777" w:rsidR="0089474A" w:rsidRPr="0089474A" w:rsidRDefault="0089474A" w:rsidP="0089474A">
            <w:pPr>
              <w:rPr>
                <w:rFonts w:cstheme="minorHAnsi"/>
                <w:b/>
              </w:rPr>
            </w:pPr>
            <w:r w:rsidRPr="0089474A">
              <w:rPr>
                <w:rFonts w:cstheme="minorHAnsi"/>
                <w:b/>
              </w:rPr>
              <w:t>Cost</w:t>
            </w:r>
          </w:p>
        </w:tc>
        <w:tc>
          <w:tcPr>
            <w:tcW w:w="2160" w:type="dxa"/>
            <w:tcBorders>
              <w:top w:val="single" w:sz="4" w:space="0" w:color="auto"/>
              <w:bottom w:val="single" w:sz="4" w:space="0" w:color="auto"/>
            </w:tcBorders>
            <w:vAlign w:val="bottom"/>
          </w:tcPr>
          <w:p w14:paraId="372C221B" w14:textId="77777777" w:rsidR="0089474A" w:rsidRPr="0089474A" w:rsidRDefault="0089474A" w:rsidP="0089474A">
            <w:pPr>
              <w:jc w:val="center"/>
              <w:rPr>
                <w:rFonts w:cstheme="minorHAnsi"/>
                <w:b/>
              </w:rPr>
            </w:pPr>
            <w:r w:rsidRPr="0089474A">
              <w:rPr>
                <w:rFonts w:cstheme="minorHAnsi"/>
                <w:b/>
              </w:rPr>
              <w:t>Graduate Student</w:t>
            </w:r>
          </w:p>
        </w:tc>
        <w:tc>
          <w:tcPr>
            <w:tcW w:w="2160" w:type="dxa"/>
            <w:tcBorders>
              <w:top w:val="single" w:sz="4" w:space="0" w:color="auto"/>
              <w:bottom w:val="single" w:sz="4" w:space="0" w:color="auto"/>
            </w:tcBorders>
            <w:vAlign w:val="bottom"/>
          </w:tcPr>
          <w:p w14:paraId="3325396E" w14:textId="77777777" w:rsidR="0089474A" w:rsidRPr="0089474A" w:rsidRDefault="0089474A" w:rsidP="0089474A">
            <w:pPr>
              <w:jc w:val="center"/>
              <w:rPr>
                <w:rFonts w:cstheme="minorHAnsi"/>
                <w:b/>
              </w:rPr>
            </w:pPr>
            <w:r w:rsidRPr="0089474A">
              <w:rPr>
                <w:rFonts w:cstheme="minorHAnsi"/>
                <w:b/>
              </w:rPr>
              <w:t>Graduate Assistant</w:t>
            </w:r>
          </w:p>
        </w:tc>
      </w:tr>
      <w:tr w:rsidR="0089474A" w:rsidRPr="005A7EED" w14:paraId="0144F853" w14:textId="77777777" w:rsidTr="0089474A">
        <w:trPr>
          <w:jc w:val="center"/>
        </w:trPr>
        <w:tc>
          <w:tcPr>
            <w:tcW w:w="4135" w:type="dxa"/>
            <w:tcBorders>
              <w:top w:val="single" w:sz="4" w:space="0" w:color="auto"/>
              <w:bottom w:val="nil"/>
            </w:tcBorders>
          </w:tcPr>
          <w:p w14:paraId="7816BF48" w14:textId="38FAB444" w:rsidR="0089474A" w:rsidRPr="005A7EED" w:rsidRDefault="00BD52B4" w:rsidP="0089474A">
            <w:pPr>
              <w:rPr>
                <w:rFonts w:cstheme="minorHAnsi"/>
              </w:rPr>
            </w:pPr>
            <w:r>
              <w:rPr>
                <w:rFonts w:cstheme="minorHAnsi"/>
              </w:rPr>
              <w:t>T</w:t>
            </w:r>
            <w:r w:rsidR="0089474A" w:rsidRPr="005A7EED">
              <w:rPr>
                <w:rFonts w:cstheme="minorHAnsi"/>
              </w:rPr>
              <w:t>uition</w:t>
            </w:r>
            <w:r>
              <w:rPr>
                <w:rFonts w:cstheme="minorHAnsi"/>
              </w:rPr>
              <w:t xml:space="preserve"> (</w:t>
            </w:r>
            <w:r w:rsidR="00855854">
              <w:rPr>
                <w:rFonts w:cstheme="minorHAnsi"/>
              </w:rPr>
              <w:t>10 credits/semester</w:t>
            </w:r>
            <w:r>
              <w:rPr>
                <w:rFonts w:cstheme="minorHAnsi"/>
              </w:rPr>
              <w:t>)</w:t>
            </w:r>
          </w:p>
        </w:tc>
        <w:tc>
          <w:tcPr>
            <w:tcW w:w="2160" w:type="dxa"/>
            <w:tcBorders>
              <w:top w:val="single" w:sz="4" w:space="0" w:color="auto"/>
              <w:bottom w:val="nil"/>
            </w:tcBorders>
          </w:tcPr>
          <w:p w14:paraId="1BB52904" w14:textId="5EEEDF52" w:rsidR="0089474A" w:rsidRPr="005A7EED" w:rsidRDefault="0089474A" w:rsidP="0089474A">
            <w:pPr>
              <w:ind w:right="576"/>
              <w:jc w:val="right"/>
              <w:rPr>
                <w:rFonts w:cstheme="minorHAnsi"/>
              </w:rPr>
            </w:pPr>
            <w:r w:rsidRPr="005A7EED">
              <w:rPr>
                <w:rFonts w:cstheme="minorHAnsi"/>
              </w:rPr>
              <w:t>$</w:t>
            </w:r>
            <w:r w:rsidR="00855854">
              <w:rPr>
                <w:rFonts w:cstheme="minorHAnsi"/>
              </w:rPr>
              <w:t>32,500</w:t>
            </w:r>
          </w:p>
        </w:tc>
        <w:tc>
          <w:tcPr>
            <w:tcW w:w="2160" w:type="dxa"/>
            <w:tcBorders>
              <w:top w:val="single" w:sz="4" w:space="0" w:color="auto"/>
              <w:bottom w:val="nil"/>
            </w:tcBorders>
          </w:tcPr>
          <w:p w14:paraId="0FF33BAC" w14:textId="77777777" w:rsidR="0089474A" w:rsidRPr="005A7EED" w:rsidRDefault="0089474A" w:rsidP="0089474A">
            <w:pPr>
              <w:jc w:val="center"/>
              <w:rPr>
                <w:rFonts w:cstheme="minorHAnsi"/>
              </w:rPr>
            </w:pPr>
            <w:r w:rsidRPr="005A7EED">
              <w:rPr>
                <w:rFonts w:cstheme="minorHAnsi"/>
              </w:rPr>
              <w:t>—</w:t>
            </w:r>
          </w:p>
        </w:tc>
      </w:tr>
      <w:tr w:rsidR="0089474A" w:rsidRPr="005A7EED" w14:paraId="5D95BC64" w14:textId="77777777" w:rsidTr="0089474A">
        <w:trPr>
          <w:jc w:val="center"/>
        </w:trPr>
        <w:tc>
          <w:tcPr>
            <w:tcW w:w="4135" w:type="dxa"/>
            <w:tcBorders>
              <w:top w:val="nil"/>
              <w:bottom w:val="nil"/>
            </w:tcBorders>
          </w:tcPr>
          <w:p w14:paraId="4DF73C87" w14:textId="77777777" w:rsidR="0089474A" w:rsidRPr="005A7EED" w:rsidRDefault="0089474A" w:rsidP="0089474A">
            <w:pPr>
              <w:rPr>
                <w:rFonts w:cstheme="minorHAnsi"/>
              </w:rPr>
            </w:pPr>
            <w:r w:rsidRPr="005A7EED">
              <w:rPr>
                <w:rFonts w:cstheme="minorHAnsi"/>
              </w:rPr>
              <w:t>Mandatory fees</w:t>
            </w:r>
          </w:p>
        </w:tc>
        <w:tc>
          <w:tcPr>
            <w:tcW w:w="2160" w:type="dxa"/>
            <w:tcBorders>
              <w:top w:val="nil"/>
              <w:bottom w:val="nil"/>
            </w:tcBorders>
          </w:tcPr>
          <w:p w14:paraId="20D9DF9D" w14:textId="579AD417" w:rsidR="0089474A" w:rsidRPr="005A7EED" w:rsidRDefault="0089474A" w:rsidP="0089474A">
            <w:pPr>
              <w:ind w:right="576"/>
              <w:jc w:val="right"/>
              <w:rPr>
                <w:rFonts w:cstheme="minorHAnsi"/>
              </w:rPr>
            </w:pPr>
            <w:r w:rsidRPr="005A7EED">
              <w:rPr>
                <w:rFonts w:cstheme="minorHAnsi"/>
              </w:rPr>
              <w:t>$1,6</w:t>
            </w:r>
            <w:r w:rsidR="00DB5F8D" w:rsidRPr="005A7EED">
              <w:rPr>
                <w:rFonts w:cstheme="minorHAnsi"/>
              </w:rPr>
              <w:t>35</w:t>
            </w:r>
          </w:p>
        </w:tc>
        <w:tc>
          <w:tcPr>
            <w:tcW w:w="2160" w:type="dxa"/>
            <w:tcBorders>
              <w:top w:val="nil"/>
              <w:bottom w:val="nil"/>
            </w:tcBorders>
          </w:tcPr>
          <w:p w14:paraId="61643D6F" w14:textId="62A32176" w:rsidR="0089474A" w:rsidRPr="005A7EED" w:rsidRDefault="0089474A" w:rsidP="0089474A">
            <w:pPr>
              <w:ind w:right="648"/>
              <w:jc w:val="right"/>
              <w:rPr>
                <w:rFonts w:cstheme="minorHAnsi"/>
              </w:rPr>
            </w:pPr>
            <w:r w:rsidRPr="005A7EED">
              <w:rPr>
                <w:rFonts w:cstheme="minorHAnsi"/>
              </w:rPr>
              <w:t>$1,6</w:t>
            </w:r>
            <w:r w:rsidR="00DB5F8D" w:rsidRPr="005A7EED">
              <w:rPr>
                <w:rFonts w:cstheme="minorHAnsi"/>
              </w:rPr>
              <w:t>35</w:t>
            </w:r>
          </w:p>
        </w:tc>
      </w:tr>
      <w:tr w:rsidR="0089474A" w:rsidRPr="005A7EED" w14:paraId="6DF8D860" w14:textId="77777777" w:rsidTr="0089474A">
        <w:trPr>
          <w:jc w:val="center"/>
        </w:trPr>
        <w:tc>
          <w:tcPr>
            <w:tcW w:w="4135" w:type="dxa"/>
            <w:tcBorders>
              <w:top w:val="nil"/>
            </w:tcBorders>
          </w:tcPr>
          <w:p w14:paraId="546925D6" w14:textId="4F0440FE" w:rsidR="0089474A" w:rsidRPr="005A7EED" w:rsidRDefault="0089474A" w:rsidP="0089474A">
            <w:pPr>
              <w:rPr>
                <w:rFonts w:cstheme="minorHAnsi"/>
              </w:rPr>
            </w:pPr>
            <w:r w:rsidRPr="005A7EED">
              <w:rPr>
                <w:rFonts w:cstheme="minorHAnsi"/>
              </w:rPr>
              <w:t>Off-campus rent</w:t>
            </w:r>
            <w:r w:rsidR="00253391">
              <w:rPr>
                <w:rFonts w:cstheme="minorHAnsi"/>
              </w:rPr>
              <w:t xml:space="preserve"> and </w:t>
            </w:r>
            <w:r w:rsidRPr="005A7EED">
              <w:rPr>
                <w:rFonts w:cstheme="minorHAnsi"/>
              </w:rPr>
              <w:t>utilities</w:t>
            </w:r>
          </w:p>
        </w:tc>
        <w:tc>
          <w:tcPr>
            <w:tcW w:w="2160" w:type="dxa"/>
            <w:tcBorders>
              <w:top w:val="nil"/>
            </w:tcBorders>
          </w:tcPr>
          <w:p w14:paraId="60DD76F4" w14:textId="4D4317A2" w:rsidR="0089474A" w:rsidRPr="005A7EED" w:rsidRDefault="0089474A" w:rsidP="0089474A">
            <w:pPr>
              <w:ind w:right="576"/>
              <w:jc w:val="right"/>
              <w:rPr>
                <w:rFonts w:cstheme="minorHAnsi"/>
              </w:rPr>
            </w:pPr>
            <w:r w:rsidRPr="005A7EED">
              <w:rPr>
                <w:rFonts w:cstheme="minorHAnsi"/>
              </w:rPr>
              <w:t>$</w:t>
            </w:r>
            <w:r w:rsidR="00253391">
              <w:rPr>
                <w:rFonts w:cstheme="minorHAnsi"/>
              </w:rPr>
              <w:t>9,314</w:t>
            </w:r>
          </w:p>
        </w:tc>
        <w:tc>
          <w:tcPr>
            <w:tcW w:w="2160" w:type="dxa"/>
            <w:tcBorders>
              <w:top w:val="nil"/>
            </w:tcBorders>
          </w:tcPr>
          <w:p w14:paraId="2B296448" w14:textId="4D85152A" w:rsidR="0089474A" w:rsidRPr="005A7EED" w:rsidRDefault="0089474A" w:rsidP="0089474A">
            <w:pPr>
              <w:ind w:right="648"/>
              <w:jc w:val="right"/>
              <w:rPr>
                <w:rFonts w:cstheme="minorHAnsi"/>
              </w:rPr>
            </w:pPr>
            <w:r w:rsidRPr="005A7EED">
              <w:rPr>
                <w:rFonts w:cstheme="minorHAnsi"/>
              </w:rPr>
              <w:t>$</w:t>
            </w:r>
            <w:r w:rsidR="00253391">
              <w:rPr>
                <w:rFonts w:cstheme="minorHAnsi"/>
              </w:rPr>
              <w:t>9,314</w:t>
            </w:r>
          </w:p>
        </w:tc>
      </w:tr>
      <w:tr w:rsidR="00253391" w:rsidRPr="005A7EED" w14:paraId="13433CAC" w14:textId="77777777" w:rsidTr="0089474A">
        <w:trPr>
          <w:jc w:val="center"/>
        </w:trPr>
        <w:tc>
          <w:tcPr>
            <w:tcW w:w="4135" w:type="dxa"/>
          </w:tcPr>
          <w:p w14:paraId="47624558" w14:textId="2F5A62C9" w:rsidR="00253391" w:rsidRPr="005A7EED" w:rsidRDefault="00253391" w:rsidP="0089474A">
            <w:pPr>
              <w:rPr>
                <w:rFonts w:cstheme="minorHAnsi"/>
              </w:rPr>
            </w:pPr>
            <w:r>
              <w:rPr>
                <w:rFonts w:cstheme="minorHAnsi"/>
              </w:rPr>
              <w:t>Food and meals</w:t>
            </w:r>
          </w:p>
        </w:tc>
        <w:tc>
          <w:tcPr>
            <w:tcW w:w="2160" w:type="dxa"/>
          </w:tcPr>
          <w:p w14:paraId="200B217B" w14:textId="4C0BC436" w:rsidR="00253391" w:rsidRPr="005A7EED" w:rsidRDefault="00253391" w:rsidP="0089474A">
            <w:pPr>
              <w:ind w:right="576"/>
              <w:jc w:val="right"/>
              <w:rPr>
                <w:rFonts w:cstheme="minorHAnsi"/>
              </w:rPr>
            </w:pPr>
            <w:r>
              <w:rPr>
                <w:rFonts w:cstheme="minorHAnsi"/>
              </w:rPr>
              <w:t>$5,120</w:t>
            </w:r>
          </w:p>
        </w:tc>
        <w:tc>
          <w:tcPr>
            <w:tcW w:w="2160" w:type="dxa"/>
          </w:tcPr>
          <w:p w14:paraId="66101D5C" w14:textId="1ACECFA9" w:rsidR="00253391" w:rsidRPr="005A7EED" w:rsidRDefault="00253391" w:rsidP="0089474A">
            <w:pPr>
              <w:ind w:right="648"/>
              <w:jc w:val="right"/>
              <w:rPr>
                <w:rFonts w:cstheme="minorHAnsi"/>
              </w:rPr>
            </w:pPr>
            <w:r>
              <w:rPr>
                <w:rFonts w:cstheme="minorHAnsi"/>
              </w:rPr>
              <w:t>$5,120</w:t>
            </w:r>
          </w:p>
        </w:tc>
      </w:tr>
      <w:tr w:rsidR="0089474A" w:rsidRPr="005A7EED" w14:paraId="60C85804" w14:textId="77777777" w:rsidTr="0089474A">
        <w:trPr>
          <w:jc w:val="center"/>
        </w:trPr>
        <w:tc>
          <w:tcPr>
            <w:tcW w:w="4135" w:type="dxa"/>
          </w:tcPr>
          <w:p w14:paraId="66FEEF73" w14:textId="77777777" w:rsidR="0089474A" w:rsidRPr="005A7EED" w:rsidRDefault="0089474A" w:rsidP="0089474A">
            <w:pPr>
              <w:rPr>
                <w:rFonts w:cstheme="minorHAnsi"/>
              </w:rPr>
            </w:pPr>
            <w:r w:rsidRPr="005A7EED">
              <w:rPr>
                <w:rFonts w:cstheme="minorHAnsi"/>
              </w:rPr>
              <w:t>Personal expenses</w:t>
            </w:r>
          </w:p>
        </w:tc>
        <w:tc>
          <w:tcPr>
            <w:tcW w:w="2160" w:type="dxa"/>
          </w:tcPr>
          <w:p w14:paraId="5D34FF2B" w14:textId="77777777" w:rsidR="0089474A" w:rsidRPr="005A7EED" w:rsidRDefault="0089474A" w:rsidP="0089474A">
            <w:pPr>
              <w:ind w:right="576"/>
              <w:jc w:val="right"/>
              <w:rPr>
                <w:rFonts w:cstheme="minorHAnsi"/>
              </w:rPr>
            </w:pPr>
            <w:r w:rsidRPr="005A7EED">
              <w:rPr>
                <w:rFonts w:cstheme="minorHAnsi"/>
              </w:rPr>
              <w:t>$1,144</w:t>
            </w:r>
          </w:p>
        </w:tc>
        <w:tc>
          <w:tcPr>
            <w:tcW w:w="2160" w:type="dxa"/>
          </w:tcPr>
          <w:p w14:paraId="552E0024" w14:textId="77777777" w:rsidR="0089474A" w:rsidRPr="005A7EED" w:rsidRDefault="0089474A" w:rsidP="0089474A">
            <w:pPr>
              <w:ind w:right="648"/>
              <w:jc w:val="right"/>
              <w:rPr>
                <w:rFonts w:cstheme="minorHAnsi"/>
              </w:rPr>
            </w:pPr>
            <w:r w:rsidRPr="005A7EED">
              <w:rPr>
                <w:rFonts w:cstheme="minorHAnsi"/>
              </w:rPr>
              <w:t>$1,144</w:t>
            </w:r>
          </w:p>
        </w:tc>
      </w:tr>
      <w:tr w:rsidR="0089474A" w:rsidRPr="005A7EED" w14:paraId="3C7A19C8" w14:textId="77777777" w:rsidTr="0089474A">
        <w:trPr>
          <w:jc w:val="center"/>
        </w:trPr>
        <w:tc>
          <w:tcPr>
            <w:tcW w:w="4135" w:type="dxa"/>
          </w:tcPr>
          <w:p w14:paraId="00E583B9" w14:textId="77777777" w:rsidR="0089474A" w:rsidRPr="005A7EED" w:rsidRDefault="0089474A" w:rsidP="0089474A">
            <w:pPr>
              <w:rPr>
                <w:rFonts w:cstheme="minorHAnsi"/>
              </w:rPr>
            </w:pPr>
            <w:r w:rsidRPr="005A7EED">
              <w:rPr>
                <w:rFonts w:cstheme="minorHAnsi"/>
              </w:rPr>
              <w:t>Books and supplies</w:t>
            </w:r>
          </w:p>
        </w:tc>
        <w:tc>
          <w:tcPr>
            <w:tcW w:w="2160" w:type="dxa"/>
          </w:tcPr>
          <w:p w14:paraId="7FFB03C1" w14:textId="2E6FC876" w:rsidR="0089474A" w:rsidRPr="005A7EED" w:rsidRDefault="0089474A" w:rsidP="0089474A">
            <w:pPr>
              <w:ind w:right="576"/>
              <w:jc w:val="right"/>
              <w:rPr>
                <w:rFonts w:cstheme="minorHAnsi"/>
              </w:rPr>
            </w:pPr>
            <w:r w:rsidRPr="005A7EED">
              <w:rPr>
                <w:rFonts w:cstheme="minorHAnsi"/>
              </w:rPr>
              <w:t>$</w:t>
            </w:r>
            <w:r w:rsidR="00DB5F8D" w:rsidRPr="005A7EED">
              <w:rPr>
                <w:rFonts w:cstheme="minorHAnsi"/>
              </w:rPr>
              <w:t>624</w:t>
            </w:r>
          </w:p>
        </w:tc>
        <w:tc>
          <w:tcPr>
            <w:tcW w:w="2160" w:type="dxa"/>
          </w:tcPr>
          <w:p w14:paraId="5BCC021E" w14:textId="3D5F7FFB" w:rsidR="0089474A" w:rsidRPr="005A7EED" w:rsidRDefault="0089474A" w:rsidP="0089474A">
            <w:pPr>
              <w:ind w:right="648"/>
              <w:jc w:val="right"/>
              <w:rPr>
                <w:rFonts w:cstheme="minorHAnsi"/>
              </w:rPr>
            </w:pPr>
            <w:r w:rsidRPr="005A7EED">
              <w:rPr>
                <w:rFonts w:cstheme="minorHAnsi"/>
              </w:rPr>
              <w:t>$</w:t>
            </w:r>
            <w:r w:rsidR="00DB5F8D" w:rsidRPr="005A7EED">
              <w:rPr>
                <w:rFonts w:cstheme="minorHAnsi"/>
              </w:rPr>
              <w:t>624</w:t>
            </w:r>
          </w:p>
        </w:tc>
      </w:tr>
      <w:tr w:rsidR="0089474A" w:rsidRPr="005A7EED" w14:paraId="7AB6BAAE" w14:textId="77777777" w:rsidTr="0089474A">
        <w:trPr>
          <w:jc w:val="center"/>
        </w:trPr>
        <w:tc>
          <w:tcPr>
            <w:tcW w:w="4135" w:type="dxa"/>
            <w:tcBorders>
              <w:bottom w:val="single" w:sz="4" w:space="0" w:color="auto"/>
            </w:tcBorders>
          </w:tcPr>
          <w:p w14:paraId="333BE22D" w14:textId="24DBB034" w:rsidR="0089474A" w:rsidRPr="005A7EED" w:rsidRDefault="005A7EED" w:rsidP="0089474A">
            <w:pPr>
              <w:rPr>
                <w:rFonts w:cstheme="minorHAnsi"/>
              </w:rPr>
            </w:pPr>
            <w:r w:rsidRPr="005A7EED">
              <w:rPr>
                <w:rFonts w:cstheme="minorHAnsi"/>
              </w:rPr>
              <w:t>Transportation</w:t>
            </w:r>
          </w:p>
        </w:tc>
        <w:tc>
          <w:tcPr>
            <w:tcW w:w="2160" w:type="dxa"/>
            <w:tcBorders>
              <w:bottom w:val="single" w:sz="4" w:space="0" w:color="auto"/>
            </w:tcBorders>
          </w:tcPr>
          <w:p w14:paraId="1B60ADFE" w14:textId="7F79243B" w:rsidR="0089474A" w:rsidRPr="005A7EED" w:rsidRDefault="0089474A" w:rsidP="0089474A">
            <w:pPr>
              <w:ind w:right="576"/>
              <w:jc w:val="right"/>
              <w:rPr>
                <w:rFonts w:cstheme="minorHAnsi"/>
              </w:rPr>
            </w:pPr>
            <w:r w:rsidRPr="005A7EED">
              <w:rPr>
                <w:rFonts w:cstheme="minorHAnsi"/>
              </w:rPr>
              <w:t>$</w:t>
            </w:r>
            <w:r w:rsidR="0097466E">
              <w:rPr>
                <w:rFonts w:cstheme="minorHAnsi"/>
              </w:rPr>
              <w:t>522</w:t>
            </w:r>
          </w:p>
        </w:tc>
        <w:tc>
          <w:tcPr>
            <w:tcW w:w="2160" w:type="dxa"/>
            <w:tcBorders>
              <w:bottom w:val="single" w:sz="4" w:space="0" w:color="auto"/>
            </w:tcBorders>
          </w:tcPr>
          <w:p w14:paraId="66FFB459" w14:textId="39DD64BD" w:rsidR="0089474A" w:rsidRPr="005A7EED" w:rsidRDefault="0089474A" w:rsidP="0089474A">
            <w:pPr>
              <w:ind w:right="648"/>
              <w:jc w:val="right"/>
              <w:rPr>
                <w:rFonts w:cstheme="minorHAnsi"/>
              </w:rPr>
            </w:pPr>
            <w:r w:rsidRPr="005A7EED">
              <w:rPr>
                <w:rFonts w:cstheme="minorHAnsi"/>
              </w:rPr>
              <w:t>$</w:t>
            </w:r>
            <w:r w:rsidR="0097466E">
              <w:rPr>
                <w:rFonts w:cstheme="minorHAnsi"/>
              </w:rPr>
              <w:t>522</w:t>
            </w:r>
          </w:p>
        </w:tc>
      </w:tr>
      <w:tr w:rsidR="0089474A" w:rsidRPr="005A7EED" w14:paraId="4F716648" w14:textId="77777777" w:rsidTr="002B0D40">
        <w:trPr>
          <w:jc w:val="center"/>
        </w:trPr>
        <w:tc>
          <w:tcPr>
            <w:tcW w:w="4135" w:type="dxa"/>
            <w:tcBorders>
              <w:top w:val="single" w:sz="4" w:space="0" w:color="auto"/>
              <w:bottom w:val="nil"/>
            </w:tcBorders>
          </w:tcPr>
          <w:p w14:paraId="4F24AB2F" w14:textId="77777777" w:rsidR="0089474A" w:rsidRPr="005A7EED" w:rsidRDefault="0089474A" w:rsidP="0089474A">
            <w:pPr>
              <w:rPr>
                <w:rFonts w:cstheme="minorHAnsi"/>
              </w:rPr>
            </w:pPr>
            <w:r w:rsidRPr="005A7EED">
              <w:rPr>
                <w:rFonts w:cstheme="minorHAnsi"/>
              </w:rPr>
              <w:t>Average cost of attendance</w:t>
            </w:r>
          </w:p>
        </w:tc>
        <w:tc>
          <w:tcPr>
            <w:tcW w:w="2160" w:type="dxa"/>
            <w:tcBorders>
              <w:top w:val="single" w:sz="4" w:space="0" w:color="auto"/>
              <w:bottom w:val="nil"/>
            </w:tcBorders>
          </w:tcPr>
          <w:p w14:paraId="4CC7FB39" w14:textId="5BA73A0C" w:rsidR="0089474A" w:rsidRPr="005A7EED" w:rsidRDefault="0089474A" w:rsidP="0089474A">
            <w:pPr>
              <w:ind w:right="576"/>
              <w:jc w:val="right"/>
              <w:rPr>
                <w:rFonts w:cstheme="minorHAnsi"/>
              </w:rPr>
            </w:pPr>
            <w:r w:rsidRPr="005A7EED">
              <w:rPr>
                <w:rFonts w:cstheme="minorHAnsi"/>
              </w:rPr>
              <w:t>$</w:t>
            </w:r>
            <w:r w:rsidR="00855854">
              <w:rPr>
                <w:rFonts w:cstheme="minorHAnsi"/>
              </w:rPr>
              <w:t>50,859</w:t>
            </w:r>
          </w:p>
        </w:tc>
        <w:tc>
          <w:tcPr>
            <w:tcW w:w="2160" w:type="dxa"/>
            <w:tcBorders>
              <w:top w:val="single" w:sz="4" w:space="0" w:color="auto"/>
              <w:bottom w:val="nil"/>
            </w:tcBorders>
          </w:tcPr>
          <w:p w14:paraId="2EFD88AF" w14:textId="2C1B691F" w:rsidR="0089474A" w:rsidRPr="005A7EED" w:rsidRDefault="0089474A" w:rsidP="0089474A">
            <w:pPr>
              <w:ind w:right="648"/>
              <w:jc w:val="right"/>
              <w:rPr>
                <w:rFonts w:cstheme="minorHAnsi"/>
              </w:rPr>
            </w:pPr>
            <w:r w:rsidRPr="005A7EED">
              <w:rPr>
                <w:rFonts w:cstheme="minorHAnsi"/>
              </w:rPr>
              <w:t>$</w:t>
            </w:r>
            <w:r w:rsidR="0097466E">
              <w:rPr>
                <w:rFonts w:cstheme="minorHAnsi"/>
              </w:rPr>
              <w:t>18,359</w:t>
            </w:r>
          </w:p>
        </w:tc>
      </w:tr>
      <w:tr w:rsidR="0089474A" w:rsidRPr="0089474A" w14:paraId="69B4782E" w14:textId="77777777" w:rsidTr="002B0D40">
        <w:trPr>
          <w:jc w:val="center"/>
        </w:trPr>
        <w:tc>
          <w:tcPr>
            <w:tcW w:w="4135" w:type="dxa"/>
            <w:tcBorders>
              <w:top w:val="nil"/>
              <w:bottom w:val="single" w:sz="4" w:space="0" w:color="auto"/>
            </w:tcBorders>
          </w:tcPr>
          <w:p w14:paraId="4C6DC7A6" w14:textId="4AE94BBE" w:rsidR="0089474A" w:rsidRPr="005A7EED" w:rsidRDefault="0089474A" w:rsidP="0089474A">
            <w:pPr>
              <w:rPr>
                <w:rFonts w:cstheme="minorHAnsi"/>
              </w:rPr>
            </w:pPr>
            <w:r w:rsidRPr="005A7EED">
              <w:rPr>
                <w:rFonts w:cstheme="minorHAnsi"/>
              </w:rPr>
              <w:t xml:space="preserve">Average </w:t>
            </w:r>
            <w:r w:rsidR="00855854">
              <w:rPr>
                <w:rFonts w:cstheme="minorHAnsi"/>
              </w:rPr>
              <w:t xml:space="preserve">academic-year </w:t>
            </w:r>
            <w:r w:rsidRPr="005A7EED">
              <w:rPr>
                <w:rFonts w:cstheme="minorHAnsi"/>
              </w:rPr>
              <w:t>stipend</w:t>
            </w:r>
          </w:p>
        </w:tc>
        <w:tc>
          <w:tcPr>
            <w:tcW w:w="2160" w:type="dxa"/>
            <w:tcBorders>
              <w:top w:val="nil"/>
              <w:bottom w:val="single" w:sz="4" w:space="0" w:color="auto"/>
            </w:tcBorders>
          </w:tcPr>
          <w:p w14:paraId="2A910FEF" w14:textId="77777777" w:rsidR="0089474A" w:rsidRPr="005A7EED" w:rsidRDefault="0089474A" w:rsidP="0089474A">
            <w:pPr>
              <w:jc w:val="center"/>
              <w:rPr>
                <w:rFonts w:cstheme="minorHAnsi"/>
              </w:rPr>
            </w:pPr>
            <w:r w:rsidRPr="005A7EED">
              <w:rPr>
                <w:rFonts w:cstheme="minorHAnsi"/>
              </w:rPr>
              <w:t>—</w:t>
            </w:r>
          </w:p>
        </w:tc>
        <w:tc>
          <w:tcPr>
            <w:tcW w:w="2160" w:type="dxa"/>
            <w:tcBorders>
              <w:top w:val="nil"/>
              <w:bottom w:val="single" w:sz="4" w:space="0" w:color="auto"/>
            </w:tcBorders>
          </w:tcPr>
          <w:p w14:paraId="1A1D1B7E" w14:textId="4FC7F0E6" w:rsidR="0089474A" w:rsidRPr="0089474A" w:rsidRDefault="0089474A" w:rsidP="0089474A">
            <w:pPr>
              <w:ind w:right="648"/>
              <w:jc w:val="right"/>
              <w:rPr>
                <w:rFonts w:cstheme="minorHAnsi"/>
              </w:rPr>
            </w:pPr>
            <w:r w:rsidRPr="005A7EED">
              <w:rPr>
                <w:rFonts w:cstheme="minorHAnsi"/>
              </w:rPr>
              <w:t>$2</w:t>
            </w:r>
            <w:r w:rsidR="006B1C39" w:rsidRPr="005A7EED">
              <w:rPr>
                <w:rFonts w:cstheme="minorHAnsi"/>
              </w:rPr>
              <w:t>1,135</w:t>
            </w:r>
          </w:p>
        </w:tc>
      </w:tr>
      <w:tr w:rsidR="002B0D40" w:rsidRPr="0089474A" w14:paraId="31F6C8E6" w14:textId="77777777" w:rsidTr="002B0D40">
        <w:trPr>
          <w:jc w:val="center"/>
        </w:trPr>
        <w:tc>
          <w:tcPr>
            <w:tcW w:w="8455" w:type="dxa"/>
            <w:gridSpan w:val="3"/>
            <w:tcBorders>
              <w:top w:val="single" w:sz="4" w:space="0" w:color="auto"/>
              <w:bottom w:val="single" w:sz="4" w:space="0" w:color="auto"/>
            </w:tcBorders>
          </w:tcPr>
          <w:p w14:paraId="13F91421" w14:textId="77777777" w:rsidR="002B0D40" w:rsidRDefault="002B0D40" w:rsidP="00C95647">
            <w:pPr>
              <w:rPr>
                <w:rFonts w:cstheme="minorHAnsi"/>
              </w:rPr>
            </w:pPr>
          </w:p>
          <w:p w14:paraId="300B0620" w14:textId="7330E0B8" w:rsidR="002B0D40" w:rsidRPr="005A7EED" w:rsidRDefault="00C95647" w:rsidP="00C95647">
            <w:pPr>
              <w:rPr>
                <w:rFonts w:cstheme="minorHAnsi"/>
              </w:rPr>
            </w:pPr>
            <w:r>
              <w:rPr>
                <w:sz w:val="18"/>
                <w:szCs w:val="18"/>
              </w:rPr>
              <w:t xml:space="preserve">Tuition is the maximum covered for graduate assistants at the non-resident rate, which represents the cost of education.  Transportation cost </w:t>
            </w:r>
            <w:r w:rsidR="008C121D">
              <w:rPr>
                <w:sz w:val="18"/>
                <w:szCs w:val="18"/>
              </w:rPr>
              <w:t xml:space="preserve">are </w:t>
            </w:r>
            <w:r>
              <w:rPr>
                <w:sz w:val="18"/>
                <w:szCs w:val="18"/>
              </w:rPr>
              <w:t xml:space="preserve">from the </w:t>
            </w:r>
            <w:r w:rsidRPr="00C95647">
              <w:rPr>
                <w:sz w:val="18"/>
                <w:szCs w:val="18"/>
              </w:rPr>
              <w:t xml:space="preserve">Bureau of Labor Statistic's Consumer Expenditure Survey for </w:t>
            </w:r>
            <w:r>
              <w:rPr>
                <w:sz w:val="18"/>
                <w:szCs w:val="18"/>
              </w:rPr>
              <w:t>public transportation</w:t>
            </w:r>
            <w:r w:rsidR="008C121D">
              <w:rPr>
                <w:sz w:val="18"/>
                <w:szCs w:val="18"/>
              </w:rPr>
              <w:t xml:space="preserve"> in the </w:t>
            </w:r>
            <w:r w:rsidRPr="00C95647">
              <w:rPr>
                <w:sz w:val="18"/>
                <w:szCs w:val="18"/>
              </w:rPr>
              <w:t>Northeast region</w:t>
            </w:r>
            <w:r w:rsidR="008C121D">
              <w:rPr>
                <w:sz w:val="18"/>
                <w:szCs w:val="18"/>
              </w:rPr>
              <w:t xml:space="preserve">.  (Mandatory fees cover shuttle bus service to most areas where graduate assistants live.)  Other costs are </w:t>
            </w:r>
            <w:r w:rsidR="002B0D40" w:rsidRPr="00C95647">
              <w:rPr>
                <w:rFonts w:cstheme="minorHAnsi"/>
                <w:sz w:val="18"/>
                <w:szCs w:val="18"/>
              </w:rPr>
              <w:t>estimated by the Office of Student Financial Aid</w:t>
            </w:r>
            <w:r w:rsidRPr="00C95647">
              <w:rPr>
                <w:rFonts w:cstheme="minorHAnsi"/>
                <w:sz w:val="18"/>
                <w:szCs w:val="18"/>
              </w:rPr>
              <w:t xml:space="preserve"> a</w:t>
            </w:r>
            <w:r w:rsidR="002B0D40" w:rsidRPr="00C95647">
              <w:rPr>
                <w:rFonts w:cstheme="minorHAnsi"/>
                <w:sz w:val="18"/>
                <w:szCs w:val="18"/>
              </w:rPr>
              <w:t xml:space="preserve">ccording to </w:t>
            </w:r>
            <w:r w:rsidRPr="00C95647">
              <w:rPr>
                <w:rFonts w:cstheme="minorHAnsi"/>
                <w:sz w:val="18"/>
                <w:szCs w:val="18"/>
              </w:rPr>
              <w:t>federal guidelines</w:t>
            </w:r>
            <w:r w:rsidR="008C121D">
              <w:rPr>
                <w:rFonts w:cstheme="minorHAnsi"/>
                <w:sz w:val="18"/>
                <w:szCs w:val="18"/>
              </w:rPr>
              <w:t>; s</w:t>
            </w:r>
            <w:r w:rsidRPr="00C95647">
              <w:rPr>
                <w:rFonts w:cstheme="minorHAnsi"/>
                <w:sz w:val="18"/>
                <w:szCs w:val="18"/>
              </w:rPr>
              <w:t xml:space="preserve">ee </w:t>
            </w:r>
            <w:hyperlink r:id="rId9" w:history="1">
              <w:r w:rsidRPr="00C95647">
                <w:rPr>
                  <w:rStyle w:val="Hyperlink"/>
                  <w:sz w:val="18"/>
                  <w:szCs w:val="18"/>
                </w:rPr>
                <w:t>https://financialaid.umd.edu/resources-policies/cost-attendance</w:t>
              </w:r>
            </w:hyperlink>
            <w:r w:rsidRPr="00C95647">
              <w:rPr>
                <w:sz w:val="18"/>
                <w:szCs w:val="18"/>
              </w:rPr>
              <w:t>.</w:t>
            </w:r>
            <w:r>
              <w:rPr>
                <w:sz w:val="18"/>
                <w:szCs w:val="18"/>
              </w:rPr>
              <w:t xml:space="preserve"> </w:t>
            </w:r>
          </w:p>
        </w:tc>
      </w:tr>
    </w:tbl>
    <w:p w14:paraId="3E32110A" w14:textId="6B38EC71" w:rsidR="00942DD7" w:rsidRDefault="00942DD7" w:rsidP="0058645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899"/>
        <w:gridCol w:w="899"/>
        <w:gridCol w:w="899"/>
        <w:gridCol w:w="899"/>
        <w:gridCol w:w="899"/>
      </w:tblGrid>
      <w:tr w:rsidR="00F11CF8" w:rsidRPr="00FA56B2" w14:paraId="3F9AB504" w14:textId="77777777" w:rsidTr="001F2C69">
        <w:tc>
          <w:tcPr>
            <w:tcW w:w="4855" w:type="dxa"/>
          </w:tcPr>
          <w:p w14:paraId="308E4F42" w14:textId="77777777" w:rsidR="00F11CF8" w:rsidRPr="00FA56B2" w:rsidRDefault="00F11CF8" w:rsidP="001F2C69">
            <w:pPr>
              <w:rPr>
                <w:b/>
                <w:bCs/>
              </w:rPr>
            </w:pPr>
            <w:r w:rsidRPr="00FA56B2">
              <w:rPr>
                <w:b/>
                <w:bCs/>
              </w:rPr>
              <w:lastRenderedPageBreak/>
              <w:t xml:space="preserve">Graduate Assistant Average Weekly Hours </w:t>
            </w:r>
          </w:p>
        </w:tc>
        <w:tc>
          <w:tcPr>
            <w:tcW w:w="899" w:type="dxa"/>
          </w:tcPr>
          <w:p w14:paraId="5E837383" w14:textId="77777777" w:rsidR="00F11CF8" w:rsidRPr="00FA56B2" w:rsidRDefault="00F11CF8" w:rsidP="001F2C69">
            <w:pPr>
              <w:rPr>
                <w:b/>
                <w:bCs/>
              </w:rPr>
            </w:pPr>
          </w:p>
        </w:tc>
        <w:tc>
          <w:tcPr>
            <w:tcW w:w="899" w:type="dxa"/>
          </w:tcPr>
          <w:p w14:paraId="73F34EF0" w14:textId="77777777" w:rsidR="00F11CF8" w:rsidRPr="00FA56B2" w:rsidRDefault="00F11CF8" w:rsidP="001F2C69">
            <w:pPr>
              <w:rPr>
                <w:b/>
                <w:bCs/>
              </w:rPr>
            </w:pPr>
          </w:p>
        </w:tc>
        <w:tc>
          <w:tcPr>
            <w:tcW w:w="899" w:type="dxa"/>
          </w:tcPr>
          <w:p w14:paraId="58285209" w14:textId="77777777" w:rsidR="00F11CF8" w:rsidRPr="00FA56B2" w:rsidRDefault="00F11CF8" w:rsidP="001F2C69">
            <w:pPr>
              <w:rPr>
                <w:b/>
                <w:bCs/>
              </w:rPr>
            </w:pPr>
          </w:p>
        </w:tc>
        <w:tc>
          <w:tcPr>
            <w:tcW w:w="899" w:type="dxa"/>
          </w:tcPr>
          <w:p w14:paraId="1DDFFF0F" w14:textId="77777777" w:rsidR="00F11CF8" w:rsidRPr="00FA56B2" w:rsidRDefault="00F11CF8" w:rsidP="001F2C69">
            <w:pPr>
              <w:rPr>
                <w:b/>
                <w:bCs/>
              </w:rPr>
            </w:pPr>
          </w:p>
        </w:tc>
        <w:tc>
          <w:tcPr>
            <w:tcW w:w="899" w:type="dxa"/>
          </w:tcPr>
          <w:p w14:paraId="3548A97B" w14:textId="77777777" w:rsidR="00F11CF8" w:rsidRPr="00FA56B2" w:rsidRDefault="00F11CF8" w:rsidP="001F2C69">
            <w:pPr>
              <w:rPr>
                <w:b/>
                <w:bCs/>
              </w:rPr>
            </w:pPr>
          </w:p>
        </w:tc>
      </w:tr>
      <w:tr w:rsidR="00F11CF8" w14:paraId="5BBEC801" w14:textId="77777777" w:rsidTr="001F2C69">
        <w:tc>
          <w:tcPr>
            <w:tcW w:w="4855" w:type="dxa"/>
          </w:tcPr>
          <w:p w14:paraId="2D1F326C" w14:textId="77777777" w:rsidR="00F11CF8" w:rsidRDefault="00F11CF8" w:rsidP="001F2C69"/>
        </w:tc>
        <w:tc>
          <w:tcPr>
            <w:tcW w:w="899" w:type="dxa"/>
          </w:tcPr>
          <w:p w14:paraId="20DE1627" w14:textId="77777777" w:rsidR="00F11CF8" w:rsidRDefault="00F11CF8" w:rsidP="001F2C69"/>
        </w:tc>
        <w:tc>
          <w:tcPr>
            <w:tcW w:w="899" w:type="dxa"/>
          </w:tcPr>
          <w:p w14:paraId="0304A37F" w14:textId="77777777" w:rsidR="00F11CF8" w:rsidRDefault="00F11CF8" w:rsidP="001F2C69"/>
        </w:tc>
        <w:tc>
          <w:tcPr>
            <w:tcW w:w="899" w:type="dxa"/>
          </w:tcPr>
          <w:p w14:paraId="640103FE" w14:textId="77777777" w:rsidR="00F11CF8" w:rsidRDefault="00F11CF8" w:rsidP="001F2C69"/>
        </w:tc>
        <w:tc>
          <w:tcPr>
            <w:tcW w:w="899" w:type="dxa"/>
          </w:tcPr>
          <w:p w14:paraId="160324B5" w14:textId="77777777" w:rsidR="00F11CF8" w:rsidRDefault="00F11CF8" w:rsidP="001F2C69"/>
        </w:tc>
        <w:tc>
          <w:tcPr>
            <w:tcW w:w="899" w:type="dxa"/>
          </w:tcPr>
          <w:p w14:paraId="11A400C9" w14:textId="77777777" w:rsidR="00F11CF8" w:rsidRDefault="00F11CF8" w:rsidP="001F2C69"/>
        </w:tc>
      </w:tr>
      <w:tr w:rsidR="00F11CF8" w14:paraId="4D7A1197" w14:textId="77777777" w:rsidTr="001F2C69">
        <w:tc>
          <w:tcPr>
            <w:tcW w:w="4855" w:type="dxa"/>
            <w:tcBorders>
              <w:bottom w:val="single" w:sz="4" w:space="0" w:color="auto"/>
            </w:tcBorders>
            <w:vAlign w:val="bottom"/>
          </w:tcPr>
          <w:p w14:paraId="410BB5EA" w14:textId="77777777" w:rsidR="00F11CF8" w:rsidRPr="00F11CF8" w:rsidRDefault="00F11CF8" w:rsidP="001F2C69"/>
        </w:tc>
        <w:tc>
          <w:tcPr>
            <w:tcW w:w="899" w:type="dxa"/>
            <w:tcBorders>
              <w:bottom w:val="single" w:sz="4" w:space="0" w:color="auto"/>
            </w:tcBorders>
            <w:vAlign w:val="bottom"/>
          </w:tcPr>
          <w:p w14:paraId="794EACE5" w14:textId="77777777" w:rsidR="00F11CF8" w:rsidRPr="00F11CF8" w:rsidRDefault="00F11CF8" w:rsidP="00F11CF8">
            <w:pPr>
              <w:jc w:val="right"/>
            </w:pPr>
            <w:r w:rsidRPr="00F11CF8">
              <w:rPr>
                <w:rFonts w:ascii="Calibri" w:hAnsi="Calibri" w:cs="Calibri"/>
                <w:b/>
                <w:bCs/>
                <w:color w:val="000000"/>
              </w:rPr>
              <w:t>All</w:t>
            </w:r>
          </w:p>
        </w:tc>
        <w:tc>
          <w:tcPr>
            <w:tcW w:w="899" w:type="dxa"/>
            <w:tcBorders>
              <w:bottom w:val="single" w:sz="4" w:space="0" w:color="auto"/>
            </w:tcBorders>
            <w:vAlign w:val="bottom"/>
          </w:tcPr>
          <w:p w14:paraId="5A4BB3B1" w14:textId="77777777" w:rsidR="00F11CF8" w:rsidRPr="00F11CF8" w:rsidRDefault="00F11CF8" w:rsidP="00F11CF8">
            <w:pPr>
              <w:jc w:val="right"/>
            </w:pPr>
            <w:r w:rsidRPr="00F11CF8">
              <w:rPr>
                <w:rFonts w:ascii="Calibri" w:hAnsi="Calibri" w:cs="Calibri"/>
                <w:b/>
                <w:bCs/>
                <w:color w:val="000000"/>
              </w:rPr>
              <w:t>TA</w:t>
            </w:r>
          </w:p>
        </w:tc>
        <w:tc>
          <w:tcPr>
            <w:tcW w:w="899" w:type="dxa"/>
            <w:tcBorders>
              <w:bottom w:val="single" w:sz="4" w:space="0" w:color="auto"/>
            </w:tcBorders>
            <w:vAlign w:val="bottom"/>
          </w:tcPr>
          <w:p w14:paraId="253979B9" w14:textId="77777777" w:rsidR="00F11CF8" w:rsidRPr="00F11CF8" w:rsidRDefault="00F11CF8" w:rsidP="00F11CF8">
            <w:pPr>
              <w:jc w:val="right"/>
            </w:pPr>
            <w:r w:rsidRPr="00F11CF8">
              <w:rPr>
                <w:rFonts w:ascii="Calibri" w:hAnsi="Calibri" w:cs="Calibri"/>
                <w:b/>
                <w:bCs/>
                <w:color w:val="000000"/>
              </w:rPr>
              <w:t>RA</w:t>
            </w:r>
          </w:p>
        </w:tc>
        <w:tc>
          <w:tcPr>
            <w:tcW w:w="899" w:type="dxa"/>
            <w:tcBorders>
              <w:bottom w:val="single" w:sz="4" w:space="0" w:color="auto"/>
            </w:tcBorders>
            <w:vAlign w:val="bottom"/>
          </w:tcPr>
          <w:p w14:paraId="28FF81AE" w14:textId="77777777" w:rsidR="00F11CF8" w:rsidRPr="00F11CF8" w:rsidRDefault="00F11CF8" w:rsidP="00F11CF8">
            <w:pPr>
              <w:jc w:val="right"/>
            </w:pPr>
            <w:r w:rsidRPr="00F11CF8">
              <w:rPr>
                <w:rFonts w:ascii="Calibri" w:hAnsi="Calibri" w:cs="Calibri"/>
                <w:b/>
                <w:bCs/>
                <w:color w:val="000000"/>
              </w:rPr>
              <w:t>AA</w:t>
            </w:r>
          </w:p>
        </w:tc>
        <w:tc>
          <w:tcPr>
            <w:tcW w:w="899" w:type="dxa"/>
            <w:tcBorders>
              <w:bottom w:val="single" w:sz="4" w:space="0" w:color="auto"/>
            </w:tcBorders>
            <w:vAlign w:val="bottom"/>
          </w:tcPr>
          <w:p w14:paraId="6D1EB106" w14:textId="77777777" w:rsidR="00F11CF8" w:rsidRPr="00F11CF8" w:rsidRDefault="00F11CF8" w:rsidP="00F11CF8">
            <w:pPr>
              <w:jc w:val="right"/>
            </w:pPr>
            <w:r w:rsidRPr="00F11CF8">
              <w:rPr>
                <w:rFonts w:ascii="Calibri" w:hAnsi="Calibri" w:cs="Calibri"/>
                <w:b/>
                <w:bCs/>
                <w:color w:val="000000"/>
              </w:rPr>
              <w:t>Other</w:t>
            </w:r>
          </w:p>
        </w:tc>
      </w:tr>
      <w:tr w:rsidR="00F11CF8" w14:paraId="1133FE21" w14:textId="77777777" w:rsidTr="001F2C69">
        <w:tc>
          <w:tcPr>
            <w:tcW w:w="4855" w:type="dxa"/>
            <w:tcBorders>
              <w:top w:val="single" w:sz="4" w:space="0" w:color="auto"/>
            </w:tcBorders>
            <w:vAlign w:val="bottom"/>
          </w:tcPr>
          <w:p w14:paraId="5F01A299" w14:textId="2D2051B2" w:rsidR="00F11CF8" w:rsidRPr="00F11CF8" w:rsidRDefault="00F11CF8" w:rsidP="001F2C69">
            <w:r w:rsidRPr="00F11CF8">
              <w:rPr>
                <w:rFonts w:ascii="Calibri" w:hAnsi="Calibri" w:cs="Calibri"/>
                <w:color w:val="000000"/>
              </w:rPr>
              <w:t>GA activit</w:t>
            </w:r>
            <w:r>
              <w:rPr>
                <w:rFonts w:ascii="Calibri" w:hAnsi="Calibri" w:cs="Calibri"/>
                <w:color w:val="000000"/>
              </w:rPr>
              <w:t>y</w:t>
            </w:r>
          </w:p>
        </w:tc>
        <w:tc>
          <w:tcPr>
            <w:tcW w:w="899" w:type="dxa"/>
            <w:tcBorders>
              <w:top w:val="single" w:sz="4" w:space="0" w:color="auto"/>
            </w:tcBorders>
            <w:vAlign w:val="bottom"/>
          </w:tcPr>
          <w:p w14:paraId="5CC7B221" w14:textId="77777777" w:rsidR="00F11CF8" w:rsidRPr="00F11CF8" w:rsidRDefault="00F11CF8" w:rsidP="001F2C69">
            <w:pPr>
              <w:jc w:val="right"/>
            </w:pPr>
            <w:r w:rsidRPr="00F11CF8">
              <w:rPr>
                <w:rFonts w:ascii="Calibri" w:hAnsi="Calibri" w:cs="Calibri"/>
                <w:color w:val="000000"/>
              </w:rPr>
              <w:t>16.8</w:t>
            </w:r>
          </w:p>
        </w:tc>
        <w:tc>
          <w:tcPr>
            <w:tcW w:w="899" w:type="dxa"/>
            <w:tcBorders>
              <w:top w:val="single" w:sz="4" w:space="0" w:color="auto"/>
            </w:tcBorders>
            <w:vAlign w:val="bottom"/>
          </w:tcPr>
          <w:p w14:paraId="74098110" w14:textId="77777777" w:rsidR="00F11CF8" w:rsidRPr="00F11CF8" w:rsidRDefault="00F11CF8" w:rsidP="001F2C69">
            <w:pPr>
              <w:jc w:val="right"/>
            </w:pPr>
            <w:r w:rsidRPr="00F11CF8">
              <w:rPr>
                <w:rFonts w:ascii="Calibri" w:hAnsi="Calibri" w:cs="Calibri"/>
                <w:color w:val="000000"/>
              </w:rPr>
              <w:t>16.3</w:t>
            </w:r>
          </w:p>
        </w:tc>
        <w:tc>
          <w:tcPr>
            <w:tcW w:w="899" w:type="dxa"/>
            <w:tcBorders>
              <w:top w:val="single" w:sz="4" w:space="0" w:color="auto"/>
            </w:tcBorders>
            <w:vAlign w:val="bottom"/>
          </w:tcPr>
          <w:p w14:paraId="2BA9444A" w14:textId="77777777" w:rsidR="00F11CF8" w:rsidRPr="00F11CF8" w:rsidRDefault="00F11CF8" w:rsidP="001F2C69">
            <w:pPr>
              <w:jc w:val="right"/>
            </w:pPr>
            <w:r w:rsidRPr="00F11CF8">
              <w:rPr>
                <w:rFonts w:ascii="Calibri" w:hAnsi="Calibri" w:cs="Calibri"/>
                <w:color w:val="000000"/>
              </w:rPr>
              <w:t>18.4</w:t>
            </w:r>
          </w:p>
        </w:tc>
        <w:tc>
          <w:tcPr>
            <w:tcW w:w="899" w:type="dxa"/>
            <w:tcBorders>
              <w:top w:val="single" w:sz="4" w:space="0" w:color="auto"/>
            </w:tcBorders>
            <w:vAlign w:val="bottom"/>
          </w:tcPr>
          <w:p w14:paraId="17AD9FEE" w14:textId="77777777" w:rsidR="00F11CF8" w:rsidRPr="00F11CF8" w:rsidRDefault="00F11CF8" w:rsidP="001F2C69">
            <w:pPr>
              <w:jc w:val="right"/>
            </w:pPr>
            <w:r w:rsidRPr="00F11CF8">
              <w:rPr>
                <w:rFonts w:ascii="Calibri" w:hAnsi="Calibri" w:cs="Calibri"/>
                <w:color w:val="000000"/>
              </w:rPr>
              <w:t>14.6</w:t>
            </w:r>
          </w:p>
        </w:tc>
        <w:tc>
          <w:tcPr>
            <w:tcW w:w="899" w:type="dxa"/>
            <w:tcBorders>
              <w:top w:val="single" w:sz="4" w:space="0" w:color="auto"/>
            </w:tcBorders>
            <w:vAlign w:val="bottom"/>
          </w:tcPr>
          <w:p w14:paraId="7ADD2727" w14:textId="77777777" w:rsidR="00F11CF8" w:rsidRPr="00F11CF8" w:rsidRDefault="00F11CF8" w:rsidP="001F2C69">
            <w:pPr>
              <w:jc w:val="right"/>
            </w:pPr>
            <w:r w:rsidRPr="00F11CF8">
              <w:rPr>
                <w:rFonts w:ascii="Calibri" w:hAnsi="Calibri" w:cs="Calibri"/>
                <w:color w:val="000000"/>
              </w:rPr>
              <w:t>18.0</w:t>
            </w:r>
          </w:p>
        </w:tc>
      </w:tr>
      <w:tr w:rsidR="00F11CF8" w14:paraId="2ED68CF1" w14:textId="77777777" w:rsidTr="001F2C69">
        <w:tc>
          <w:tcPr>
            <w:tcW w:w="4855" w:type="dxa"/>
            <w:tcBorders>
              <w:bottom w:val="single" w:sz="4" w:space="0" w:color="auto"/>
            </w:tcBorders>
            <w:vAlign w:val="bottom"/>
          </w:tcPr>
          <w:p w14:paraId="12A8EE50" w14:textId="71529AF1" w:rsidR="00F11CF8" w:rsidRPr="00F11CF8" w:rsidRDefault="00F11CF8" w:rsidP="001F2C69">
            <w:r w:rsidRPr="00F11CF8">
              <w:rPr>
                <w:rFonts w:ascii="Calibri" w:hAnsi="Calibri" w:cs="Calibri"/>
                <w:color w:val="000000"/>
              </w:rPr>
              <w:t>Secondary GA activit</w:t>
            </w:r>
            <w:r>
              <w:rPr>
                <w:rFonts w:ascii="Calibri" w:hAnsi="Calibri" w:cs="Calibri"/>
                <w:color w:val="000000"/>
              </w:rPr>
              <w:t>y</w:t>
            </w:r>
            <w:r w:rsidRPr="00F11CF8">
              <w:rPr>
                <w:rFonts w:ascii="Calibri" w:hAnsi="Calibri" w:cs="Calibri"/>
                <w:color w:val="000000"/>
              </w:rPr>
              <w:t xml:space="preserve"> during non-GA activity </w:t>
            </w:r>
          </w:p>
        </w:tc>
        <w:tc>
          <w:tcPr>
            <w:tcW w:w="899" w:type="dxa"/>
            <w:tcBorders>
              <w:bottom w:val="single" w:sz="4" w:space="0" w:color="auto"/>
            </w:tcBorders>
            <w:vAlign w:val="bottom"/>
          </w:tcPr>
          <w:p w14:paraId="75CB40FC" w14:textId="77777777" w:rsidR="00F11CF8" w:rsidRPr="00F11CF8" w:rsidRDefault="00F11CF8" w:rsidP="001F2C69">
            <w:pPr>
              <w:jc w:val="right"/>
            </w:pPr>
            <w:r w:rsidRPr="00F11CF8">
              <w:rPr>
                <w:rFonts w:ascii="Calibri" w:hAnsi="Calibri" w:cs="Calibri"/>
                <w:color w:val="000000"/>
              </w:rPr>
              <w:t>1.1</w:t>
            </w:r>
          </w:p>
        </w:tc>
        <w:tc>
          <w:tcPr>
            <w:tcW w:w="899" w:type="dxa"/>
            <w:tcBorders>
              <w:bottom w:val="single" w:sz="4" w:space="0" w:color="auto"/>
            </w:tcBorders>
            <w:vAlign w:val="bottom"/>
          </w:tcPr>
          <w:p w14:paraId="11890028" w14:textId="77777777" w:rsidR="00F11CF8" w:rsidRPr="00F11CF8" w:rsidRDefault="00F11CF8" w:rsidP="001F2C69">
            <w:pPr>
              <w:jc w:val="right"/>
            </w:pPr>
            <w:r w:rsidRPr="00F11CF8">
              <w:rPr>
                <w:rFonts w:ascii="Calibri" w:hAnsi="Calibri" w:cs="Calibri"/>
                <w:color w:val="000000"/>
              </w:rPr>
              <w:t>1.1</w:t>
            </w:r>
          </w:p>
        </w:tc>
        <w:tc>
          <w:tcPr>
            <w:tcW w:w="899" w:type="dxa"/>
            <w:tcBorders>
              <w:bottom w:val="single" w:sz="4" w:space="0" w:color="auto"/>
            </w:tcBorders>
            <w:vAlign w:val="bottom"/>
          </w:tcPr>
          <w:p w14:paraId="4FD7B4B4" w14:textId="77777777" w:rsidR="00F11CF8" w:rsidRPr="00F11CF8" w:rsidRDefault="00F11CF8" w:rsidP="001F2C69">
            <w:pPr>
              <w:jc w:val="right"/>
            </w:pPr>
            <w:r w:rsidRPr="00F11CF8">
              <w:rPr>
                <w:rFonts w:ascii="Calibri" w:hAnsi="Calibri" w:cs="Calibri"/>
                <w:color w:val="000000"/>
              </w:rPr>
              <w:t>1.4</w:t>
            </w:r>
          </w:p>
        </w:tc>
        <w:tc>
          <w:tcPr>
            <w:tcW w:w="899" w:type="dxa"/>
            <w:tcBorders>
              <w:bottom w:val="single" w:sz="4" w:space="0" w:color="auto"/>
            </w:tcBorders>
            <w:vAlign w:val="bottom"/>
          </w:tcPr>
          <w:p w14:paraId="213C43BF" w14:textId="77777777" w:rsidR="00F11CF8" w:rsidRPr="00F11CF8" w:rsidRDefault="00F11CF8" w:rsidP="001F2C69">
            <w:pPr>
              <w:jc w:val="right"/>
            </w:pPr>
            <w:r w:rsidRPr="00F11CF8">
              <w:rPr>
                <w:rFonts w:ascii="Calibri" w:hAnsi="Calibri" w:cs="Calibri"/>
                <w:color w:val="000000"/>
              </w:rPr>
              <w:t>0.7</w:t>
            </w:r>
          </w:p>
        </w:tc>
        <w:tc>
          <w:tcPr>
            <w:tcW w:w="899" w:type="dxa"/>
            <w:tcBorders>
              <w:bottom w:val="single" w:sz="4" w:space="0" w:color="auto"/>
            </w:tcBorders>
            <w:vAlign w:val="bottom"/>
          </w:tcPr>
          <w:p w14:paraId="1FFFAE83" w14:textId="77777777" w:rsidR="00F11CF8" w:rsidRPr="00F11CF8" w:rsidRDefault="00F11CF8" w:rsidP="001F2C69">
            <w:pPr>
              <w:jc w:val="right"/>
            </w:pPr>
            <w:r w:rsidRPr="00F11CF8">
              <w:rPr>
                <w:rFonts w:ascii="Calibri" w:hAnsi="Calibri" w:cs="Calibri"/>
                <w:color w:val="000000"/>
              </w:rPr>
              <w:t>1.5</w:t>
            </w:r>
          </w:p>
        </w:tc>
      </w:tr>
      <w:tr w:rsidR="00F11CF8" w14:paraId="09BD669F" w14:textId="77777777" w:rsidTr="001F2C69">
        <w:tc>
          <w:tcPr>
            <w:tcW w:w="4855" w:type="dxa"/>
            <w:tcBorders>
              <w:top w:val="single" w:sz="4" w:space="0" w:color="auto"/>
            </w:tcBorders>
            <w:vAlign w:val="bottom"/>
          </w:tcPr>
          <w:p w14:paraId="77E9B99D" w14:textId="77777777" w:rsidR="00F11CF8" w:rsidRPr="00F11CF8" w:rsidRDefault="00F11CF8" w:rsidP="001F2C69">
            <w:r w:rsidRPr="00F11CF8">
              <w:rPr>
                <w:rFonts w:ascii="Calibri" w:hAnsi="Calibri" w:cs="Calibri"/>
                <w:color w:val="000000"/>
              </w:rPr>
              <w:t>Subtotal</w:t>
            </w:r>
          </w:p>
        </w:tc>
        <w:tc>
          <w:tcPr>
            <w:tcW w:w="899" w:type="dxa"/>
            <w:tcBorders>
              <w:top w:val="single" w:sz="4" w:space="0" w:color="auto"/>
            </w:tcBorders>
            <w:vAlign w:val="bottom"/>
          </w:tcPr>
          <w:p w14:paraId="5C82A17D" w14:textId="77777777" w:rsidR="00F11CF8" w:rsidRPr="00F11CF8" w:rsidRDefault="00F11CF8" w:rsidP="001F2C69">
            <w:pPr>
              <w:jc w:val="right"/>
            </w:pPr>
            <w:r w:rsidRPr="00F11CF8">
              <w:rPr>
                <w:rFonts w:ascii="Calibri" w:hAnsi="Calibri" w:cs="Calibri"/>
                <w:color w:val="000000"/>
              </w:rPr>
              <w:t>18.0</w:t>
            </w:r>
          </w:p>
        </w:tc>
        <w:tc>
          <w:tcPr>
            <w:tcW w:w="899" w:type="dxa"/>
            <w:tcBorders>
              <w:top w:val="single" w:sz="4" w:space="0" w:color="auto"/>
            </w:tcBorders>
            <w:vAlign w:val="bottom"/>
          </w:tcPr>
          <w:p w14:paraId="1A7A1027" w14:textId="77777777" w:rsidR="00F11CF8" w:rsidRPr="00F11CF8" w:rsidRDefault="00F11CF8" w:rsidP="001F2C69">
            <w:pPr>
              <w:jc w:val="right"/>
            </w:pPr>
            <w:r w:rsidRPr="00F11CF8">
              <w:rPr>
                <w:rFonts w:ascii="Calibri" w:hAnsi="Calibri" w:cs="Calibri"/>
                <w:color w:val="000000"/>
              </w:rPr>
              <w:t>17.4</w:t>
            </w:r>
          </w:p>
        </w:tc>
        <w:tc>
          <w:tcPr>
            <w:tcW w:w="899" w:type="dxa"/>
            <w:tcBorders>
              <w:top w:val="single" w:sz="4" w:space="0" w:color="auto"/>
            </w:tcBorders>
            <w:vAlign w:val="bottom"/>
          </w:tcPr>
          <w:p w14:paraId="57CA768B" w14:textId="77777777" w:rsidR="00F11CF8" w:rsidRPr="00F11CF8" w:rsidRDefault="00F11CF8" w:rsidP="001F2C69">
            <w:pPr>
              <w:jc w:val="right"/>
            </w:pPr>
            <w:r w:rsidRPr="00F11CF8">
              <w:rPr>
                <w:rFonts w:ascii="Calibri" w:hAnsi="Calibri" w:cs="Calibri"/>
                <w:color w:val="000000"/>
              </w:rPr>
              <w:t>19.8</w:t>
            </w:r>
          </w:p>
        </w:tc>
        <w:tc>
          <w:tcPr>
            <w:tcW w:w="899" w:type="dxa"/>
            <w:tcBorders>
              <w:top w:val="single" w:sz="4" w:space="0" w:color="auto"/>
            </w:tcBorders>
            <w:vAlign w:val="bottom"/>
          </w:tcPr>
          <w:p w14:paraId="0D328C30" w14:textId="77777777" w:rsidR="00F11CF8" w:rsidRPr="00F11CF8" w:rsidRDefault="00F11CF8" w:rsidP="001F2C69">
            <w:pPr>
              <w:jc w:val="right"/>
            </w:pPr>
            <w:r w:rsidRPr="00F11CF8">
              <w:rPr>
                <w:rFonts w:ascii="Calibri" w:hAnsi="Calibri" w:cs="Calibri"/>
                <w:color w:val="000000"/>
              </w:rPr>
              <w:t>15.3</w:t>
            </w:r>
          </w:p>
        </w:tc>
        <w:tc>
          <w:tcPr>
            <w:tcW w:w="899" w:type="dxa"/>
            <w:tcBorders>
              <w:top w:val="single" w:sz="4" w:space="0" w:color="auto"/>
            </w:tcBorders>
            <w:vAlign w:val="bottom"/>
          </w:tcPr>
          <w:p w14:paraId="6738D12C" w14:textId="77777777" w:rsidR="00F11CF8" w:rsidRPr="00F11CF8" w:rsidRDefault="00F11CF8" w:rsidP="001F2C69">
            <w:pPr>
              <w:jc w:val="right"/>
            </w:pPr>
            <w:r w:rsidRPr="00F11CF8">
              <w:rPr>
                <w:rFonts w:ascii="Calibri" w:hAnsi="Calibri" w:cs="Calibri"/>
                <w:color w:val="000000"/>
              </w:rPr>
              <w:t>19.5</w:t>
            </w:r>
          </w:p>
        </w:tc>
      </w:tr>
      <w:tr w:rsidR="00F11CF8" w14:paraId="499A68B8" w14:textId="77777777" w:rsidTr="00F11CF8">
        <w:tc>
          <w:tcPr>
            <w:tcW w:w="4855" w:type="dxa"/>
            <w:tcBorders>
              <w:bottom w:val="single" w:sz="4" w:space="0" w:color="auto"/>
            </w:tcBorders>
            <w:vAlign w:val="bottom"/>
          </w:tcPr>
          <w:p w14:paraId="421688E0" w14:textId="25344AE2" w:rsidR="00F11CF8" w:rsidRPr="00F11CF8" w:rsidRDefault="00F11CF8" w:rsidP="001F2C69">
            <w:r w:rsidRPr="00F11CF8">
              <w:rPr>
                <w:rFonts w:ascii="Calibri" w:hAnsi="Calibri" w:cs="Calibri"/>
                <w:color w:val="000000"/>
              </w:rPr>
              <w:t>GA activit</w:t>
            </w:r>
            <w:r>
              <w:rPr>
                <w:rFonts w:ascii="Calibri" w:hAnsi="Calibri" w:cs="Calibri"/>
                <w:color w:val="000000"/>
              </w:rPr>
              <w:t>y</w:t>
            </w:r>
            <w:r w:rsidRPr="00F11CF8">
              <w:rPr>
                <w:rFonts w:ascii="Calibri" w:hAnsi="Calibri" w:cs="Calibri"/>
                <w:color w:val="000000"/>
              </w:rPr>
              <w:t xml:space="preserve"> that contributes to own research</w:t>
            </w:r>
          </w:p>
        </w:tc>
        <w:tc>
          <w:tcPr>
            <w:tcW w:w="899" w:type="dxa"/>
            <w:tcBorders>
              <w:bottom w:val="single" w:sz="4" w:space="0" w:color="auto"/>
            </w:tcBorders>
            <w:vAlign w:val="bottom"/>
          </w:tcPr>
          <w:p w14:paraId="758DCC2B" w14:textId="77777777" w:rsidR="00F11CF8" w:rsidRPr="00F11CF8" w:rsidRDefault="00F11CF8" w:rsidP="001F2C69">
            <w:pPr>
              <w:jc w:val="right"/>
            </w:pPr>
            <w:r w:rsidRPr="00F11CF8">
              <w:rPr>
                <w:rFonts w:ascii="Calibri" w:hAnsi="Calibri" w:cs="Calibri"/>
                <w:color w:val="000000"/>
              </w:rPr>
              <w:t>6.2</w:t>
            </w:r>
          </w:p>
        </w:tc>
        <w:tc>
          <w:tcPr>
            <w:tcW w:w="899" w:type="dxa"/>
            <w:tcBorders>
              <w:bottom w:val="single" w:sz="4" w:space="0" w:color="auto"/>
            </w:tcBorders>
            <w:vAlign w:val="bottom"/>
          </w:tcPr>
          <w:p w14:paraId="5BDE82CF" w14:textId="77777777" w:rsidR="00F11CF8" w:rsidRPr="00F11CF8" w:rsidRDefault="00F11CF8" w:rsidP="001F2C69">
            <w:pPr>
              <w:jc w:val="right"/>
            </w:pPr>
            <w:r w:rsidRPr="00F11CF8">
              <w:rPr>
                <w:rFonts w:ascii="Calibri" w:hAnsi="Calibri" w:cs="Calibri"/>
                <w:color w:val="000000"/>
              </w:rPr>
              <w:t>3.4</w:t>
            </w:r>
          </w:p>
        </w:tc>
        <w:tc>
          <w:tcPr>
            <w:tcW w:w="899" w:type="dxa"/>
            <w:tcBorders>
              <w:bottom w:val="single" w:sz="4" w:space="0" w:color="auto"/>
            </w:tcBorders>
            <w:vAlign w:val="bottom"/>
          </w:tcPr>
          <w:p w14:paraId="024D1C57" w14:textId="77777777" w:rsidR="00F11CF8" w:rsidRPr="00F11CF8" w:rsidRDefault="00F11CF8" w:rsidP="001F2C69">
            <w:pPr>
              <w:jc w:val="right"/>
            </w:pPr>
            <w:r w:rsidRPr="00F11CF8">
              <w:rPr>
                <w:rFonts w:ascii="Calibri" w:hAnsi="Calibri" w:cs="Calibri"/>
                <w:color w:val="000000"/>
              </w:rPr>
              <w:t>10.5</w:t>
            </w:r>
          </w:p>
        </w:tc>
        <w:tc>
          <w:tcPr>
            <w:tcW w:w="899" w:type="dxa"/>
            <w:tcBorders>
              <w:bottom w:val="single" w:sz="4" w:space="0" w:color="auto"/>
            </w:tcBorders>
            <w:vAlign w:val="bottom"/>
          </w:tcPr>
          <w:p w14:paraId="6344E09D" w14:textId="77777777" w:rsidR="00F11CF8" w:rsidRPr="00F11CF8" w:rsidRDefault="00F11CF8" w:rsidP="001F2C69">
            <w:pPr>
              <w:jc w:val="right"/>
            </w:pPr>
            <w:r w:rsidRPr="00F11CF8">
              <w:rPr>
                <w:rFonts w:ascii="Calibri" w:hAnsi="Calibri" w:cs="Calibri"/>
                <w:color w:val="000000"/>
              </w:rPr>
              <w:t>3.4</w:t>
            </w:r>
          </w:p>
        </w:tc>
        <w:tc>
          <w:tcPr>
            <w:tcW w:w="899" w:type="dxa"/>
            <w:tcBorders>
              <w:bottom w:val="single" w:sz="4" w:space="0" w:color="auto"/>
            </w:tcBorders>
            <w:vAlign w:val="bottom"/>
          </w:tcPr>
          <w:p w14:paraId="6469CAEA" w14:textId="77777777" w:rsidR="00F11CF8" w:rsidRPr="00F11CF8" w:rsidRDefault="00F11CF8" w:rsidP="001F2C69">
            <w:pPr>
              <w:jc w:val="right"/>
            </w:pPr>
            <w:r w:rsidRPr="00F11CF8">
              <w:rPr>
                <w:rFonts w:ascii="Calibri" w:hAnsi="Calibri" w:cs="Calibri"/>
                <w:color w:val="000000"/>
              </w:rPr>
              <w:t>7.4</w:t>
            </w:r>
          </w:p>
        </w:tc>
      </w:tr>
      <w:tr w:rsidR="00F11CF8" w14:paraId="4196B99A" w14:textId="77777777" w:rsidTr="00F11CF8">
        <w:tc>
          <w:tcPr>
            <w:tcW w:w="4855" w:type="dxa"/>
            <w:tcBorders>
              <w:top w:val="single" w:sz="4" w:space="0" w:color="auto"/>
              <w:bottom w:val="single" w:sz="4" w:space="0" w:color="auto"/>
            </w:tcBorders>
            <w:vAlign w:val="bottom"/>
          </w:tcPr>
          <w:p w14:paraId="43B04265" w14:textId="459B53F7" w:rsidR="00F11CF8" w:rsidRPr="00F11CF8" w:rsidRDefault="00F11CF8" w:rsidP="001F2C69">
            <w:r w:rsidRPr="00F11CF8">
              <w:t>GA activit</w:t>
            </w:r>
            <w:r>
              <w:t>y</w:t>
            </w:r>
            <w:r w:rsidRPr="00F11CF8">
              <w:t xml:space="preserve"> not contributing to own research</w:t>
            </w:r>
          </w:p>
        </w:tc>
        <w:tc>
          <w:tcPr>
            <w:tcW w:w="899" w:type="dxa"/>
            <w:tcBorders>
              <w:top w:val="single" w:sz="4" w:space="0" w:color="auto"/>
              <w:bottom w:val="single" w:sz="4" w:space="0" w:color="auto"/>
            </w:tcBorders>
            <w:vAlign w:val="bottom"/>
          </w:tcPr>
          <w:p w14:paraId="5BEFF794" w14:textId="77777777" w:rsidR="00F11CF8" w:rsidRPr="00F11CF8" w:rsidRDefault="00F11CF8" w:rsidP="001F2C69">
            <w:pPr>
              <w:jc w:val="right"/>
            </w:pPr>
            <w:r w:rsidRPr="00F11CF8">
              <w:rPr>
                <w:rFonts w:ascii="Calibri" w:hAnsi="Calibri" w:cs="Calibri"/>
                <w:color w:val="000000"/>
              </w:rPr>
              <w:t>11.8</w:t>
            </w:r>
          </w:p>
        </w:tc>
        <w:tc>
          <w:tcPr>
            <w:tcW w:w="899" w:type="dxa"/>
            <w:tcBorders>
              <w:top w:val="single" w:sz="4" w:space="0" w:color="auto"/>
              <w:bottom w:val="single" w:sz="4" w:space="0" w:color="auto"/>
            </w:tcBorders>
            <w:vAlign w:val="bottom"/>
          </w:tcPr>
          <w:p w14:paraId="1FF9CF45" w14:textId="77777777" w:rsidR="00F11CF8" w:rsidRPr="00F11CF8" w:rsidRDefault="00F11CF8" w:rsidP="001F2C69">
            <w:pPr>
              <w:jc w:val="right"/>
            </w:pPr>
            <w:r w:rsidRPr="00F11CF8">
              <w:rPr>
                <w:rFonts w:ascii="Calibri" w:hAnsi="Calibri" w:cs="Calibri"/>
                <w:color w:val="000000"/>
              </w:rPr>
              <w:t>14.0</w:t>
            </w:r>
          </w:p>
        </w:tc>
        <w:tc>
          <w:tcPr>
            <w:tcW w:w="899" w:type="dxa"/>
            <w:tcBorders>
              <w:top w:val="single" w:sz="4" w:space="0" w:color="auto"/>
              <w:bottom w:val="single" w:sz="4" w:space="0" w:color="auto"/>
            </w:tcBorders>
            <w:vAlign w:val="bottom"/>
          </w:tcPr>
          <w:p w14:paraId="4D915020" w14:textId="77777777" w:rsidR="00F11CF8" w:rsidRPr="00F11CF8" w:rsidRDefault="00F11CF8" w:rsidP="001F2C69">
            <w:pPr>
              <w:jc w:val="right"/>
            </w:pPr>
            <w:r w:rsidRPr="00F11CF8">
              <w:rPr>
                <w:rFonts w:ascii="Calibri" w:hAnsi="Calibri" w:cs="Calibri"/>
                <w:color w:val="000000"/>
              </w:rPr>
              <w:t>9.3</w:t>
            </w:r>
          </w:p>
        </w:tc>
        <w:tc>
          <w:tcPr>
            <w:tcW w:w="899" w:type="dxa"/>
            <w:tcBorders>
              <w:top w:val="single" w:sz="4" w:space="0" w:color="auto"/>
              <w:bottom w:val="single" w:sz="4" w:space="0" w:color="auto"/>
            </w:tcBorders>
            <w:vAlign w:val="bottom"/>
          </w:tcPr>
          <w:p w14:paraId="5ABBAF18" w14:textId="77777777" w:rsidR="00F11CF8" w:rsidRPr="00F11CF8" w:rsidRDefault="00F11CF8" w:rsidP="001F2C69">
            <w:pPr>
              <w:jc w:val="right"/>
            </w:pPr>
            <w:r w:rsidRPr="00F11CF8">
              <w:rPr>
                <w:rFonts w:ascii="Calibri" w:hAnsi="Calibri" w:cs="Calibri"/>
                <w:color w:val="000000"/>
              </w:rPr>
              <w:t>11.9</w:t>
            </w:r>
          </w:p>
        </w:tc>
        <w:tc>
          <w:tcPr>
            <w:tcW w:w="899" w:type="dxa"/>
            <w:tcBorders>
              <w:top w:val="single" w:sz="4" w:space="0" w:color="auto"/>
              <w:bottom w:val="single" w:sz="4" w:space="0" w:color="auto"/>
            </w:tcBorders>
            <w:vAlign w:val="bottom"/>
          </w:tcPr>
          <w:p w14:paraId="6D3912E4" w14:textId="77777777" w:rsidR="00F11CF8" w:rsidRPr="00F11CF8" w:rsidRDefault="00F11CF8" w:rsidP="001F2C69">
            <w:pPr>
              <w:jc w:val="right"/>
            </w:pPr>
            <w:r w:rsidRPr="00F11CF8">
              <w:rPr>
                <w:rFonts w:ascii="Calibri" w:hAnsi="Calibri" w:cs="Calibri"/>
                <w:color w:val="000000"/>
              </w:rPr>
              <w:t>12.1</w:t>
            </w:r>
          </w:p>
        </w:tc>
      </w:tr>
      <w:tr w:rsidR="00F11CF8" w14:paraId="6BE6B35E" w14:textId="77777777" w:rsidTr="00F11CF8">
        <w:tc>
          <w:tcPr>
            <w:tcW w:w="4855" w:type="dxa"/>
            <w:tcBorders>
              <w:top w:val="single" w:sz="4" w:space="0" w:color="auto"/>
            </w:tcBorders>
            <w:vAlign w:val="bottom"/>
          </w:tcPr>
          <w:p w14:paraId="4E5B1DB0" w14:textId="77777777" w:rsidR="00F11CF8" w:rsidRDefault="00F11CF8" w:rsidP="001F2C69"/>
        </w:tc>
        <w:tc>
          <w:tcPr>
            <w:tcW w:w="899" w:type="dxa"/>
            <w:tcBorders>
              <w:top w:val="single" w:sz="4" w:space="0" w:color="auto"/>
            </w:tcBorders>
            <w:vAlign w:val="bottom"/>
          </w:tcPr>
          <w:p w14:paraId="188ED37D" w14:textId="77777777" w:rsidR="00F11CF8" w:rsidRDefault="00F11CF8" w:rsidP="001F2C69">
            <w:pPr>
              <w:jc w:val="right"/>
            </w:pPr>
          </w:p>
        </w:tc>
        <w:tc>
          <w:tcPr>
            <w:tcW w:w="899" w:type="dxa"/>
            <w:tcBorders>
              <w:top w:val="single" w:sz="4" w:space="0" w:color="auto"/>
            </w:tcBorders>
            <w:vAlign w:val="bottom"/>
          </w:tcPr>
          <w:p w14:paraId="3A542120" w14:textId="77777777" w:rsidR="00F11CF8" w:rsidRDefault="00F11CF8" w:rsidP="001F2C69">
            <w:pPr>
              <w:jc w:val="right"/>
            </w:pPr>
          </w:p>
        </w:tc>
        <w:tc>
          <w:tcPr>
            <w:tcW w:w="899" w:type="dxa"/>
            <w:tcBorders>
              <w:top w:val="single" w:sz="4" w:space="0" w:color="auto"/>
            </w:tcBorders>
            <w:vAlign w:val="bottom"/>
          </w:tcPr>
          <w:p w14:paraId="4887A3BD" w14:textId="77777777" w:rsidR="00F11CF8" w:rsidRDefault="00F11CF8" w:rsidP="001F2C69">
            <w:pPr>
              <w:jc w:val="right"/>
            </w:pPr>
          </w:p>
        </w:tc>
        <w:tc>
          <w:tcPr>
            <w:tcW w:w="899" w:type="dxa"/>
            <w:tcBorders>
              <w:top w:val="single" w:sz="4" w:space="0" w:color="auto"/>
            </w:tcBorders>
            <w:vAlign w:val="bottom"/>
          </w:tcPr>
          <w:p w14:paraId="16A15EB5" w14:textId="77777777" w:rsidR="00F11CF8" w:rsidRDefault="00F11CF8" w:rsidP="001F2C69">
            <w:pPr>
              <w:jc w:val="right"/>
            </w:pPr>
          </w:p>
        </w:tc>
        <w:tc>
          <w:tcPr>
            <w:tcW w:w="899" w:type="dxa"/>
            <w:tcBorders>
              <w:top w:val="single" w:sz="4" w:space="0" w:color="auto"/>
            </w:tcBorders>
            <w:vAlign w:val="bottom"/>
          </w:tcPr>
          <w:p w14:paraId="47BAFF73" w14:textId="77777777" w:rsidR="00F11CF8" w:rsidRDefault="00F11CF8" w:rsidP="001F2C69">
            <w:pPr>
              <w:jc w:val="right"/>
            </w:pPr>
          </w:p>
        </w:tc>
      </w:tr>
    </w:tbl>
    <w:tbl>
      <w:tblPr>
        <w:tblW w:w="9360" w:type="dxa"/>
        <w:tblLook w:val="04A0" w:firstRow="1" w:lastRow="0" w:firstColumn="1" w:lastColumn="0" w:noHBand="0" w:noVBand="1"/>
      </w:tblPr>
      <w:tblGrid>
        <w:gridCol w:w="9360"/>
      </w:tblGrid>
      <w:tr w:rsidR="00F11CF8" w:rsidRPr="00FA56B2" w14:paraId="1940A985" w14:textId="77777777" w:rsidTr="001F2C69">
        <w:trPr>
          <w:trHeight w:val="320"/>
        </w:trPr>
        <w:tc>
          <w:tcPr>
            <w:tcW w:w="9360" w:type="dxa"/>
            <w:tcBorders>
              <w:top w:val="nil"/>
              <w:left w:val="nil"/>
              <w:bottom w:val="nil"/>
              <w:right w:val="nil"/>
            </w:tcBorders>
            <w:shd w:val="clear" w:color="auto" w:fill="auto"/>
            <w:noWrap/>
            <w:vAlign w:val="bottom"/>
            <w:hideMark/>
          </w:tcPr>
          <w:p w14:paraId="5683CC47" w14:textId="4CA342C5" w:rsidR="00F11CF8" w:rsidRPr="00F11CF8" w:rsidRDefault="00F11CF8" w:rsidP="00F11CF8">
            <w:pPr>
              <w:rPr>
                <w:rFonts w:asciiTheme="minorHAnsi" w:hAnsiTheme="minorHAnsi" w:cstheme="minorHAnsi"/>
                <w:color w:val="000000"/>
              </w:rPr>
            </w:pPr>
            <w:r w:rsidRPr="00F11CF8">
              <w:rPr>
                <w:rFonts w:asciiTheme="minorHAnsi" w:hAnsiTheme="minorHAnsi" w:cstheme="minorHAnsi"/>
              </w:rPr>
              <w:t xml:space="preserve">Summary of time-use study by Prof. Liana Sayer, director of the Maryland Time-Use Laboratory. </w:t>
            </w:r>
            <w:r w:rsidRPr="00F11CF8">
              <w:rPr>
                <w:rFonts w:asciiTheme="minorHAnsi" w:hAnsiTheme="minorHAnsi" w:cstheme="minorHAnsi"/>
                <w:color w:val="000000"/>
              </w:rPr>
              <w:t>GA activity i</w:t>
            </w:r>
            <w:r>
              <w:rPr>
                <w:rFonts w:asciiTheme="minorHAnsi" w:hAnsiTheme="minorHAnsi" w:cstheme="minorHAnsi"/>
                <w:color w:val="000000"/>
              </w:rPr>
              <w:t xml:space="preserve">s </w:t>
            </w:r>
            <w:r w:rsidRPr="00F11CF8">
              <w:rPr>
                <w:rFonts w:asciiTheme="minorHAnsi" w:hAnsiTheme="minorHAnsi" w:cstheme="minorHAnsi"/>
                <w:color w:val="000000"/>
              </w:rPr>
              <w:t xml:space="preserve">time when </w:t>
            </w:r>
            <w:r>
              <w:rPr>
                <w:rFonts w:asciiTheme="minorHAnsi" w:hAnsiTheme="minorHAnsi" w:cstheme="minorHAnsi"/>
                <w:color w:val="000000"/>
              </w:rPr>
              <w:t xml:space="preserve">the </w:t>
            </w:r>
            <w:r w:rsidRPr="00F11CF8">
              <w:rPr>
                <w:rFonts w:asciiTheme="minorHAnsi" w:hAnsiTheme="minorHAnsi" w:cstheme="minorHAnsi"/>
                <w:color w:val="000000"/>
              </w:rPr>
              <w:t>GA activity is the primary focus of attention, regardless of any simultaneous engagement in any type of secondary activity.  Secondary GA activity includes reported time in GA activities that are done simultaneously with a non-GA activity that is the main focus of attention.  Other are split GA appointments (e.g., half TA, half RA).</w:t>
            </w:r>
          </w:p>
        </w:tc>
      </w:tr>
      <w:tr w:rsidR="00F11CF8" w:rsidRPr="00FA56B2" w14:paraId="402F36C0" w14:textId="77777777" w:rsidTr="001F2C69">
        <w:trPr>
          <w:trHeight w:val="300"/>
        </w:trPr>
        <w:tc>
          <w:tcPr>
            <w:tcW w:w="9360" w:type="dxa"/>
            <w:tcBorders>
              <w:top w:val="nil"/>
              <w:left w:val="nil"/>
              <w:bottom w:val="nil"/>
              <w:right w:val="nil"/>
            </w:tcBorders>
            <w:shd w:val="clear" w:color="auto" w:fill="auto"/>
            <w:noWrap/>
            <w:vAlign w:val="bottom"/>
            <w:hideMark/>
          </w:tcPr>
          <w:p w14:paraId="60B4121B" w14:textId="77777777" w:rsidR="00F11CF8" w:rsidRDefault="00F11CF8" w:rsidP="001F2C69">
            <w:pPr>
              <w:rPr>
                <w:rFonts w:ascii="Calibri" w:hAnsi="Calibri" w:cs="Calibri"/>
                <w:color w:val="000000"/>
                <w:sz w:val="22"/>
                <w:szCs w:val="22"/>
              </w:rPr>
            </w:pPr>
          </w:p>
          <w:p w14:paraId="772777E3" w14:textId="17D475BF" w:rsidR="00F11CF8" w:rsidRPr="00FA56B2" w:rsidRDefault="00F11CF8" w:rsidP="001F2C69">
            <w:pPr>
              <w:rPr>
                <w:rFonts w:ascii="Calibri" w:hAnsi="Calibri" w:cs="Calibri"/>
                <w:color w:val="000000"/>
                <w:sz w:val="22"/>
                <w:szCs w:val="22"/>
              </w:rPr>
            </w:pPr>
          </w:p>
        </w:tc>
      </w:tr>
    </w:tbl>
    <w:p w14:paraId="6E54442E" w14:textId="77777777" w:rsidR="00F11CF8" w:rsidRDefault="00F11CF8" w:rsidP="00F11CF8"/>
    <w:p w14:paraId="01D3948E" w14:textId="77777777" w:rsidR="00F11CF8" w:rsidRPr="0089474A" w:rsidRDefault="00F11CF8" w:rsidP="00586457">
      <w:pPr>
        <w:rPr>
          <w:rFonts w:asciiTheme="minorHAnsi" w:hAnsiTheme="minorHAnsi" w:cstheme="minorHAnsi"/>
        </w:rPr>
      </w:pPr>
    </w:p>
    <w:sectPr w:rsidR="00F11CF8" w:rsidRPr="0089474A" w:rsidSect="00FA3088">
      <w:footerReference w:type="even" r:id="rId10"/>
      <w:footerReference w:type="default" r:id="rId11"/>
      <w:headerReference w:type="first" r:id="rId12"/>
      <w:footerReference w:type="first" r:id="rId13"/>
      <w:pgSz w:w="12240" w:h="15840"/>
      <w:pgMar w:top="1440" w:right="1296"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1B6B5" w14:textId="77777777" w:rsidR="009219CD" w:rsidRDefault="009219CD">
      <w:r>
        <w:separator/>
      </w:r>
    </w:p>
  </w:endnote>
  <w:endnote w:type="continuationSeparator" w:id="0">
    <w:p w14:paraId="0BBF9153" w14:textId="77777777" w:rsidR="009219CD" w:rsidRDefault="0092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A142" w14:textId="77777777" w:rsidR="009219CD" w:rsidRDefault="009219CD"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F11D85" w14:textId="77777777" w:rsidR="009219CD" w:rsidRDefault="00921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B4CBA" w14:textId="495D6060" w:rsidR="009219CD" w:rsidRDefault="009219CD" w:rsidP="00240D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541">
      <w:rPr>
        <w:rStyle w:val="PageNumber"/>
        <w:noProof/>
      </w:rPr>
      <w:t>3</w:t>
    </w:r>
    <w:r>
      <w:rPr>
        <w:rStyle w:val="PageNumber"/>
      </w:rPr>
      <w:fldChar w:fldCharType="end"/>
    </w:r>
  </w:p>
  <w:p w14:paraId="1D8B2A67" w14:textId="77777777" w:rsidR="009219CD" w:rsidRDefault="009219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2427D" w14:textId="77777777" w:rsidR="009219CD" w:rsidRDefault="009219CD" w:rsidP="002A0D46">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CA965" w14:textId="77777777" w:rsidR="009219CD" w:rsidRDefault="009219CD">
      <w:r>
        <w:separator/>
      </w:r>
    </w:p>
  </w:footnote>
  <w:footnote w:type="continuationSeparator" w:id="0">
    <w:p w14:paraId="46DA4DE1" w14:textId="77777777" w:rsidR="009219CD" w:rsidRDefault="00921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B413" w14:textId="77777777" w:rsidR="009219CD" w:rsidRDefault="009219CD" w:rsidP="006A1380">
    <w:pPr>
      <w:pStyle w:val="Header"/>
      <w:tabs>
        <w:tab w:val="clear" w:pos="8640"/>
        <w:tab w:val="left" w:pos="1085"/>
        <w:tab w:val="left" w:pos="7455"/>
      </w:tabs>
      <w:ind w:left="-900"/>
      <w:jc w:val="both"/>
    </w:pPr>
    <w:r w:rsidRPr="0042060E">
      <w:rPr>
        <w:rFonts w:ascii="Adobe Garamond Pro" w:hAnsi="Adobe Garamond Pro"/>
        <w:noProof/>
      </w:rPr>
      <mc:AlternateContent>
        <mc:Choice Requires="wps">
          <w:drawing>
            <wp:anchor distT="45720" distB="45720" distL="114300" distR="114300" simplePos="0" relativeHeight="251669504" behindDoc="0" locked="0" layoutInCell="1" allowOverlap="1" wp14:anchorId="04B4B388" wp14:editId="2358166A">
              <wp:simplePos x="0" y="0"/>
              <wp:positionH relativeFrom="margin">
                <wp:posOffset>3495370</wp:posOffset>
              </wp:positionH>
              <wp:positionV relativeFrom="paragraph">
                <wp:posOffset>69850</wp:posOffset>
              </wp:positionV>
              <wp:extent cx="2265045" cy="643255"/>
              <wp:effectExtent l="0" t="0" r="190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643255"/>
                      </a:xfrm>
                      <a:prstGeom prst="rect">
                        <a:avLst/>
                      </a:prstGeom>
                      <a:solidFill>
                        <a:srgbClr val="FFFFFF"/>
                      </a:solidFill>
                      <a:ln w="9525">
                        <a:noFill/>
                        <a:miter lim="800000"/>
                        <a:headEnd/>
                        <a:tailEnd/>
                      </a:ln>
                    </wps:spPr>
                    <wps:txbx>
                      <w:txbxContent>
                        <w:p w14:paraId="7ADAA935"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B4B388" id="_x0000_t202" coordsize="21600,21600" o:spt="202" path="m,l,21600r21600,l21600,xe">
              <v:stroke joinstyle="miter"/>
              <v:path gradientshapeok="t" o:connecttype="rect"/>
            </v:shapetype>
            <v:shape id="Text Box 2" o:spid="_x0000_s1026" type="#_x0000_t202" style="position:absolute;left:0;text-align:left;margin-left:275.25pt;margin-top:5.5pt;width:178.35pt;height:50.6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" stroked="f">
              <v:textbox style="mso-fit-shape-to-text:t">
                <w:txbxContent>
                  <w:p w14:paraId="7ADAA935"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2125 Lee Building</w:t>
                    </w:r>
                  </w:p>
                  <w:p w14:paraId="319A55C8"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College Park, MD 20742-5121</w:t>
                    </w:r>
                  </w:p>
                  <w:p w14:paraId="08D9B97E"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Tel (301) 405-</w:t>
                    </w:r>
                    <w:proofErr w:type="gramStart"/>
                    <w:r w:rsidRPr="00C56A25">
                      <w:rPr>
                        <w:rFonts w:ascii="Adobe Garamond Pro" w:hAnsi="Adobe Garamond Pro"/>
                        <w:color w:val="000000" w:themeColor="text1"/>
                        <w:sz w:val="19"/>
                        <w:szCs w:val="19"/>
                      </w:rPr>
                      <w:t>0358  Fax</w:t>
                    </w:r>
                    <w:proofErr w:type="gramEnd"/>
                    <w:r w:rsidRPr="00C56A25">
                      <w:rPr>
                        <w:rFonts w:ascii="Adobe Garamond Pro" w:hAnsi="Adobe Garamond Pro"/>
                        <w:color w:val="000000" w:themeColor="text1"/>
                        <w:sz w:val="19"/>
                        <w:szCs w:val="19"/>
                      </w:rPr>
                      <w:t xml:space="preserve"> (301) 314-9305</w:t>
                    </w:r>
                  </w:p>
                  <w:p w14:paraId="23ADD677" w14:textId="77777777" w:rsidR="009219CD" w:rsidRPr="00C56A25" w:rsidRDefault="009219CD" w:rsidP="0042060E">
                    <w:pPr>
                      <w:rPr>
                        <w:rFonts w:ascii="Adobe Garamond Pro" w:hAnsi="Adobe Garamond Pro"/>
                        <w:color w:val="000000" w:themeColor="text1"/>
                        <w:sz w:val="19"/>
                        <w:szCs w:val="19"/>
                      </w:rPr>
                    </w:pPr>
                    <w:r w:rsidRPr="00C56A25">
                      <w:rPr>
                        <w:rFonts w:ascii="Adobe Garamond Pro" w:hAnsi="Adobe Garamond Pro"/>
                        <w:color w:val="000000" w:themeColor="text1"/>
                        <w:sz w:val="19"/>
                        <w:szCs w:val="19"/>
                      </w:rPr>
                      <w:t>www.gradschool.umd.edu</w:t>
                    </w:r>
                  </w:p>
                </w:txbxContent>
              </v:textbox>
              <w10:wrap type="square" anchorx="margin"/>
            </v:shape>
          </w:pict>
        </mc:Fallback>
      </mc:AlternateContent>
    </w:r>
    <w:r w:rsidRPr="007A4A6D">
      <w:rPr>
        <w:rFonts w:ascii="Helvetica" w:hAnsi="Helvetica"/>
        <w:noProof/>
        <w:sz w:val="16"/>
        <w:szCs w:val="16"/>
      </w:rPr>
      <mc:AlternateContent>
        <mc:Choice Requires="wps">
          <w:drawing>
            <wp:anchor distT="45720" distB="45720" distL="114300" distR="114300" simplePos="0" relativeHeight="251659264" behindDoc="0" locked="0" layoutInCell="1" allowOverlap="1" wp14:anchorId="0560A838" wp14:editId="6822194C">
              <wp:simplePos x="0" y="0"/>
              <wp:positionH relativeFrom="column">
                <wp:posOffset>-100330</wp:posOffset>
              </wp:positionH>
              <wp:positionV relativeFrom="paragraph">
                <wp:posOffset>496570</wp:posOffset>
              </wp:positionV>
              <wp:extent cx="1495425" cy="261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61620"/>
                      </a:xfrm>
                      <a:prstGeom prst="rect">
                        <a:avLst/>
                      </a:prstGeom>
                      <a:solidFill>
                        <a:srgbClr val="FFFFFF"/>
                      </a:solidFill>
                      <a:ln w="9525">
                        <a:noFill/>
                        <a:miter lim="800000"/>
                        <a:headEnd/>
                        <a:tailEnd/>
                      </a:ln>
                    </wps:spPr>
                    <wps:txbx>
                      <w:txbxContent>
                        <w:p w14:paraId="042F054E" w14:textId="77777777" w:rsidR="009219CD" w:rsidRPr="009D6C73" w:rsidRDefault="009219CD">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60A838" id="_x0000_s1027" type="#_x0000_t202" style="position:absolute;left:0;text-align:left;margin-left:-7.9pt;margin-top:39.1pt;width:117.75pt;height:2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" stroked="f">
              <v:textbox style="mso-fit-shape-to-text:t">
                <w:txbxContent>
                  <w:p w14:paraId="042F054E" w14:textId="77777777" w:rsidR="009219CD" w:rsidRPr="009D6C73" w:rsidRDefault="009219CD">
                    <w:pPr>
                      <w:rPr>
                        <w:rFonts w:ascii="Adobe Garamond Pro" w:hAnsi="Adobe Garamond Pro"/>
                        <w:i/>
                        <w:color w:val="404040" w:themeColor="text1" w:themeTint="BF"/>
                        <w:sz w:val="22"/>
                        <w:szCs w:val="22"/>
                      </w:rPr>
                    </w:pPr>
                    <w:r w:rsidRPr="009D6C73">
                      <w:rPr>
                        <w:rFonts w:ascii="Adobe Garamond Pro" w:hAnsi="Adobe Garamond Pro"/>
                        <w:i/>
                        <w:color w:val="404040" w:themeColor="text1" w:themeTint="BF"/>
                        <w:sz w:val="22"/>
                        <w:szCs w:val="22"/>
                      </w:rPr>
                      <w:t>Office of the Dean</w:t>
                    </w:r>
                  </w:p>
                </w:txbxContent>
              </v:textbox>
              <w10:wrap type="square"/>
            </v:shape>
          </w:pict>
        </mc:Fallback>
      </mc:AlternateContent>
    </w:r>
    <w:r w:rsidRPr="007A4A6D">
      <w:rPr>
        <w:noProof/>
      </w:rPr>
      <w:drawing>
        <wp:anchor distT="0" distB="0" distL="114300" distR="114300" simplePos="0" relativeHeight="251671552" behindDoc="0" locked="0" layoutInCell="1" allowOverlap="1" wp14:anchorId="7F317835" wp14:editId="27DD9645">
          <wp:simplePos x="0" y="0"/>
          <wp:positionH relativeFrom="margin">
            <wp:posOffset>-803910</wp:posOffset>
          </wp:positionH>
          <wp:positionV relativeFrom="paragraph">
            <wp:posOffset>-72695</wp:posOffset>
          </wp:positionV>
          <wp:extent cx="3386455" cy="717550"/>
          <wp:effectExtent l="0" t="0" r="4445" b="6350"/>
          <wp:wrapSquare wrapText="bothSides"/>
          <wp:docPr id="3" name="Picture 3" descr="U:\UMD Grad School\GS Communications\Branding and Marketing\Logos\UMD-GS-logo-no-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MD Grad School\GS Communications\Branding and Marketing\Logos\UMD-GS-logo-no-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6455" cy="717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3075"/>
    <w:multiLevelType w:val="hybridMultilevel"/>
    <w:tmpl w:val="8CF0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15327"/>
    <w:multiLevelType w:val="hybridMultilevel"/>
    <w:tmpl w:val="32123D2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71E1C"/>
    <w:multiLevelType w:val="hybridMultilevel"/>
    <w:tmpl w:val="7C1230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866A58"/>
    <w:multiLevelType w:val="hybridMultilevel"/>
    <w:tmpl w:val="BA34F83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E52CA"/>
    <w:multiLevelType w:val="hybridMultilevel"/>
    <w:tmpl w:val="59DE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73023"/>
    <w:multiLevelType w:val="hybridMultilevel"/>
    <w:tmpl w:val="0824A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EF4362"/>
    <w:multiLevelType w:val="hybridMultilevel"/>
    <w:tmpl w:val="206AEF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7C037E"/>
    <w:multiLevelType w:val="hybridMultilevel"/>
    <w:tmpl w:val="3DCE63A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0389C"/>
    <w:multiLevelType w:val="hybridMultilevel"/>
    <w:tmpl w:val="20326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4A47D0"/>
    <w:multiLevelType w:val="hybridMultilevel"/>
    <w:tmpl w:val="1F92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9E03FD"/>
    <w:multiLevelType w:val="hybridMultilevel"/>
    <w:tmpl w:val="76AAE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B26BDF"/>
    <w:multiLevelType w:val="hybridMultilevel"/>
    <w:tmpl w:val="43B624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942C78"/>
    <w:multiLevelType w:val="hybridMultilevel"/>
    <w:tmpl w:val="48B49D10"/>
    <w:lvl w:ilvl="0" w:tplc="F08CF47C">
      <w:start w:val="1"/>
      <w:numFmt w:val="upperRoman"/>
      <w:lvlText w:val="%1."/>
      <w:lvlJc w:val="left"/>
      <w:pPr>
        <w:ind w:left="820" w:hanging="514"/>
        <w:jc w:val="right"/>
      </w:pPr>
      <w:rPr>
        <w:rFonts w:ascii="Times New Roman" w:eastAsia="Times New Roman" w:hAnsi="Times New Roman" w:hint="default"/>
        <w:b/>
        <w:bCs/>
        <w:sz w:val="24"/>
        <w:szCs w:val="24"/>
      </w:rPr>
    </w:lvl>
    <w:lvl w:ilvl="1" w:tplc="E6B44038">
      <w:start w:val="1"/>
      <w:numFmt w:val="lowerLetter"/>
      <w:lvlText w:val="%2."/>
      <w:lvlJc w:val="left"/>
      <w:pPr>
        <w:ind w:left="1540" w:hanging="360"/>
        <w:jc w:val="left"/>
      </w:pPr>
      <w:rPr>
        <w:rFonts w:ascii="Times New Roman" w:eastAsia="Times New Roman" w:hAnsi="Times New Roman" w:hint="default"/>
        <w:spacing w:val="-1"/>
        <w:sz w:val="24"/>
        <w:szCs w:val="24"/>
      </w:rPr>
    </w:lvl>
    <w:lvl w:ilvl="2" w:tplc="2864E316">
      <w:start w:val="1"/>
      <w:numFmt w:val="bullet"/>
      <w:lvlText w:val="•"/>
      <w:lvlJc w:val="left"/>
      <w:pPr>
        <w:ind w:left="2418" w:hanging="360"/>
      </w:pPr>
      <w:rPr>
        <w:rFonts w:hint="default"/>
      </w:rPr>
    </w:lvl>
    <w:lvl w:ilvl="3" w:tplc="7AF8D784">
      <w:start w:val="1"/>
      <w:numFmt w:val="bullet"/>
      <w:lvlText w:val="•"/>
      <w:lvlJc w:val="left"/>
      <w:pPr>
        <w:ind w:left="3295" w:hanging="360"/>
      </w:pPr>
      <w:rPr>
        <w:rFonts w:hint="default"/>
      </w:rPr>
    </w:lvl>
    <w:lvl w:ilvl="4" w:tplc="A53EB51A">
      <w:start w:val="1"/>
      <w:numFmt w:val="bullet"/>
      <w:lvlText w:val="•"/>
      <w:lvlJc w:val="left"/>
      <w:pPr>
        <w:ind w:left="4173" w:hanging="360"/>
      </w:pPr>
      <w:rPr>
        <w:rFonts w:hint="default"/>
      </w:rPr>
    </w:lvl>
    <w:lvl w:ilvl="5" w:tplc="263C2AD6">
      <w:start w:val="1"/>
      <w:numFmt w:val="bullet"/>
      <w:lvlText w:val="•"/>
      <w:lvlJc w:val="left"/>
      <w:pPr>
        <w:ind w:left="5051" w:hanging="360"/>
      </w:pPr>
      <w:rPr>
        <w:rFonts w:hint="default"/>
      </w:rPr>
    </w:lvl>
    <w:lvl w:ilvl="6" w:tplc="C1C6433E">
      <w:start w:val="1"/>
      <w:numFmt w:val="bullet"/>
      <w:lvlText w:val="•"/>
      <w:lvlJc w:val="left"/>
      <w:pPr>
        <w:ind w:left="5929" w:hanging="360"/>
      </w:pPr>
      <w:rPr>
        <w:rFonts w:hint="default"/>
      </w:rPr>
    </w:lvl>
    <w:lvl w:ilvl="7" w:tplc="2866378A">
      <w:start w:val="1"/>
      <w:numFmt w:val="bullet"/>
      <w:lvlText w:val="•"/>
      <w:lvlJc w:val="left"/>
      <w:pPr>
        <w:ind w:left="6806" w:hanging="360"/>
      </w:pPr>
      <w:rPr>
        <w:rFonts w:hint="default"/>
      </w:rPr>
    </w:lvl>
    <w:lvl w:ilvl="8" w:tplc="0C06B310">
      <w:start w:val="1"/>
      <w:numFmt w:val="bullet"/>
      <w:lvlText w:val="•"/>
      <w:lvlJc w:val="left"/>
      <w:pPr>
        <w:ind w:left="7684" w:hanging="360"/>
      </w:pPr>
      <w:rPr>
        <w:rFonts w:hint="default"/>
      </w:rPr>
    </w:lvl>
  </w:abstractNum>
  <w:abstractNum w:abstractNumId="13">
    <w:nsid w:val="48EE1204"/>
    <w:multiLevelType w:val="hybridMultilevel"/>
    <w:tmpl w:val="B7642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D458E"/>
    <w:multiLevelType w:val="hybridMultilevel"/>
    <w:tmpl w:val="8E26A9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1E6A74"/>
    <w:multiLevelType w:val="hybridMultilevel"/>
    <w:tmpl w:val="49B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57ECD"/>
    <w:multiLevelType w:val="hybridMultilevel"/>
    <w:tmpl w:val="ECF40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422C72"/>
    <w:multiLevelType w:val="hybridMultilevel"/>
    <w:tmpl w:val="FABC9E9C"/>
    <w:lvl w:ilvl="0" w:tplc="651EA816">
      <w:start w:val="201"/>
      <w:numFmt w:val="decimal"/>
      <w:lvlText w:val="%1"/>
      <w:lvlJc w:val="left"/>
      <w:pPr>
        <w:tabs>
          <w:tab w:val="num" w:pos="660"/>
        </w:tabs>
        <w:ind w:left="660" w:hanging="4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72B3115A"/>
    <w:multiLevelType w:val="hybridMultilevel"/>
    <w:tmpl w:val="BBDA09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3614B"/>
    <w:multiLevelType w:val="hybridMultilevel"/>
    <w:tmpl w:val="E9866A72"/>
    <w:lvl w:ilvl="0" w:tplc="F75058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9"/>
  </w:num>
  <w:num w:numId="2">
    <w:abstractNumId w:val="13"/>
  </w:num>
  <w:num w:numId="3">
    <w:abstractNumId w:val="2"/>
  </w:num>
  <w:num w:numId="4">
    <w:abstractNumId w:val="6"/>
  </w:num>
  <w:num w:numId="5">
    <w:abstractNumId w:val="11"/>
  </w:num>
  <w:num w:numId="6">
    <w:abstractNumId w:val="3"/>
  </w:num>
  <w:num w:numId="7">
    <w:abstractNumId w:val="16"/>
  </w:num>
  <w:num w:numId="8">
    <w:abstractNumId w:val="18"/>
  </w:num>
  <w:num w:numId="9">
    <w:abstractNumId w:val="1"/>
  </w:num>
  <w:num w:numId="10">
    <w:abstractNumId w:val="17"/>
  </w:num>
  <w:num w:numId="11">
    <w:abstractNumId w:val="7"/>
  </w:num>
  <w:num w:numId="12">
    <w:abstractNumId w:val="14"/>
  </w:num>
  <w:num w:numId="13">
    <w:abstractNumId w:val="8"/>
  </w:num>
  <w:num w:numId="14">
    <w:abstractNumId w:val="9"/>
  </w:num>
  <w:num w:numId="15">
    <w:abstractNumId w:val="5"/>
  </w:num>
  <w:num w:numId="16">
    <w:abstractNumId w:val="0"/>
  </w:num>
  <w:num w:numId="17">
    <w:abstractNumId w:val="12"/>
  </w:num>
  <w:num w:numId="18">
    <w:abstractNumId w:val="1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Nominations$` "/>
    <w:activeRecord w:val="83"/>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0A"/>
    <w:rsid w:val="00025FCE"/>
    <w:rsid w:val="00033DE9"/>
    <w:rsid w:val="0003786C"/>
    <w:rsid w:val="000535E9"/>
    <w:rsid w:val="00064134"/>
    <w:rsid w:val="000653B0"/>
    <w:rsid w:val="00065E77"/>
    <w:rsid w:val="000A3B5E"/>
    <w:rsid w:val="000B74B4"/>
    <w:rsid w:val="000C3C87"/>
    <w:rsid w:val="000F03EC"/>
    <w:rsid w:val="000F3904"/>
    <w:rsid w:val="00100340"/>
    <w:rsid w:val="00113BC1"/>
    <w:rsid w:val="00130C0C"/>
    <w:rsid w:val="00135B00"/>
    <w:rsid w:val="00150686"/>
    <w:rsid w:val="001539A9"/>
    <w:rsid w:val="00164CFD"/>
    <w:rsid w:val="001737A5"/>
    <w:rsid w:val="00174D41"/>
    <w:rsid w:val="00180406"/>
    <w:rsid w:val="00194AF6"/>
    <w:rsid w:val="001A066F"/>
    <w:rsid w:val="001A244B"/>
    <w:rsid w:val="001B25C5"/>
    <w:rsid w:val="001B41A5"/>
    <w:rsid w:val="001C0C0E"/>
    <w:rsid w:val="001D7451"/>
    <w:rsid w:val="001E12E0"/>
    <w:rsid w:val="001E2F78"/>
    <w:rsid w:val="001E65BD"/>
    <w:rsid w:val="001F2C69"/>
    <w:rsid w:val="00230A18"/>
    <w:rsid w:val="002319FC"/>
    <w:rsid w:val="00234519"/>
    <w:rsid w:val="00240DE7"/>
    <w:rsid w:val="002464EF"/>
    <w:rsid w:val="00253391"/>
    <w:rsid w:val="0026733F"/>
    <w:rsid w:val="0027113A"/>
    <w:rsid w:val="0028780F"/>
    <w:rsid w:val="00291738"/>
    <w:rsid w:val="00294936"/>
    <w:rsid w:val="002A0D46"/>
    <w:rsid w:val="002B0D40"/>
    <w:rsid w:val="002E07C5"/>
    <w:rsid w:val="002E1AE0"/>
    <w:rsid w:val="003009CD"/>
    <w:rsid w:val="003025D5"/>
    <w:rsid w:val="0031011B"/>
    <w:rsid w:val="003160C3"/>
    <w:rsid w:val="00316833"/>
    <w:rsid w:val="003308CF"/>
    <w:rsid w:val="00333244"/>
    <w:rsid w:val="0035157D"/>
    <w:rsid w:val="00362B49"/>
    <w:rsid w:val="0036475A"/>
    <w:rsid w:val="00372A77"/>
    <w:rsid w:val="0037426F"/>
    <w:rsid w:val="003800CA"/>
    <w:rsid w:val="00381B52"/>
    <w:rsid w:val="00385D34"/>
    <w:rsid w:val="00390CA0"/>
    <w:rsid w:val="003958ED"/>
    <w:rsid w:val="003A67CA"/>
    <w:rsid w:val="003A68A0"/>
    <w:rsid w:val="003B08DC"/>
    <w:rsid w:val="003B414C"/>
    <w:rsid w:val="003C2836"/>
    <w:rsid w:val="00402AD1"/>
    <w:rsid w:val="00405638"/>
    <w:rsid w:val="00406F29"/>
    <w:rsid w:val="00407112"/>
    <w:rsid w:val="00407D9F"/>
    <w:rsid w:val="00413541"/>
    <w:rsid w:val="00416A03"/>
    <w:rsid w:val="0042060E"/>
    <w:rsid w:val="00445702"/>
    <w:rsid w:val="00465BAA"/>
    <w:rsid w:val="004B3063"/>
    <w:rsid w:val="004C51F5"/>
    <w:rsid w:val="004D7937"/>
    <w:rsid w:val="004E2CD6"/>
    <w:rsid w:val="004E55E7"/>
    <w:rsid w:val="00502905"/>
    <w:rsid w:val="00506088"/>
    <w:rsid w:val="0051135B"/>
    <w:rsid w:val="00526E8D"/>
    <w:rsid w:val="0053435A"/>
    <w:rsid w:val="005508E1"/>
    <w:rsid w:val="0055190D"/>
    <w:rsid w:val="00567804"/>
    <w:rsid w:val="005724BA"/>
    <w:rsid w:val="0058230E"/>
    <w:rsid w:val="00582549"/>
    <w:rsid w:val="00582F24"/>
    <w:rsid w:val="00586457"/>
    <w:rsid w:val="00587289"/>
    <w:rsid w:val="00590D76"/>
    <w:rsid w:val="005A67E6"/>
    <w:rsid w:val="005A7EED"/>
    <w:rsid w:val="005B2239"/>
    <w:rsid w:val="005C4D88"/>
    <w:rsid w:val="005C78C2"/>
    <w:rsid w:val="005D2106"/>
    <w:rsid w:val="005D73A6"/>
    <w:rsid w:val="005E111B"/>
    <w:rsid w:val="005E235B"/>
    <w:rsid w:val="005E4BF7"/>
    <w:rsid w:val="00612CDD"/>
    <w:rsid w:val="006169FA"/>
    <w:rsid w:val="00632C95"/>
    <w:rsid w:val="00646B82"/>
    <w:rsid w:val="0065342F"/>
    <w:rsid w:val="00664A9C"/>
    <w:rsid w:val="00670539"/>
    <w:rsid w:val="006767E0"/>
    <w:rsid w:val="006811FD"/>
    <w:rsid w:val="006A1380"/>
    <w:rsid w:val="006A20BF"/>
    <w:rsid w:val="006B1C39"/>
    <w:rsid w:val="006C3760"/>
    <w:rsid w:val="006C6988"/>
    <w:rsid w:val="006C6CC0"/>
    <w:rsid w:val="006E3B09"/>
    <w:rsid w:val="006E56AF"/>
    <w:rsid w:val="007069F7"/>
    <w:rsid w:val="00711E86"/>
    <w:rsid w:val="00730472"/>
    <w:rsid w:val="00730C20"/>
    <w:rsid w:val="0073762A"/>
    <w:rsid w:val="00746744"/>
    <w:rsid w:val="0075035B"/>
    <w:rsid w:val="00770799"/>
    <w:rsid w:val="00783D58"/>
    <w:rsid w:val="007A1C98"/>
    <w:rsid w:val="007A4A6D"/>
    <w:rsid w:val="007F02F1"/>
    <w:rsid w:val="007F1CDA"/>
    <w:rsid w:val="0081542F"/>
    <w:rsid w:val="00846C19"/>
    <w:rsid w:val="00855854"/>
    <w:rsid w:val="00865DD2"/>
    <w:rsid w:val="00876B9B"/>
    <w:rsid w:val="0089474A"/>
    <w:rsid w:val="00896B3D"/>
    <w:rsid w:val="008A17FB"/>
    <w:rsid w:val="008C121D"/>
    <w:rsid w:val="008D083D"/>
    <w:rsid w:val="008D26F1"/>
    <w:rsid w:val="008D30DA"/>
    <w:rsid w:val="008E450C"/>
    <w:rsid w:val="008F1733"/>
    <w:rsid w:val="008F2D99"/>
    <w:rsid w:val="0090656C"/>
    <w:rsid w:val="00921745"/>
    <w:rsid w:val="00921916"/>
    <w:rsid w:val="009219CD"/>
    <w:rsid w:val="00942DD7"/>
    <w:rsid w:val="0097466E"/>
    <w:rsid w:val="009762A0"/>
    <w:rsid w:val="00980B19"/>
    <w:rsid w:val="009907F0"/>
    <w:rsid w:val="00994098"/>
    <w:rsid w:val="009965B5"/>
    <w:rsid w:val="009A23E3"/>
    <w:rsid w:val="009D39D2"/>
    <w:rsid w:val="009D6C73"/>
    <w:rsid w:val="009D783A"/>
    <w:rsid w:val="00A04602"/>
    <w:rsid w:val="00A47183"/>
    <w:rsid w:val="00A500DC"/>
    <w:rsid w:val="00A51919"/>
    <w:rsid w:val="00A6246B"/>
    <w:rsid w:val="00A66DFB"/>
    <w:rsid w:val="00A71E77"/>
    <w:rsid w:val="00A83D2A"/>
    <w:rsid w:val="00A965B9"/>
    <w:rsid w:val="00AA1476"/>
    <w:rsid w:val="00AC200B"/>
    <w:rsid w:val="00AC6515"/>
    <w:rsid w:val="00AE739A"/>
    <w:rsid w:val="00B06000"/>
    <w:rsid w:val="00B3316B"/>
    <w:rsid w:val="00B4465F"/>
    <w:rsid w:val="00B55128"/>
    <w:rsid w:val="00B560A2"/>
    <w:rsid w:val="00B730E4"/>
    <w:rsid w:val="00B9222D"/>
    <w:rsid w:val="00BA5765"/>
    <w:rsid w:val="00BB3704"/>
    <w:rsid w:val="00BB64E9"/>
    <w:rsid w:val="00BB67D8"/>
    <w:rsid w:val="00BD38FC"/>
    <w:rsid w:val="00BD52B4"/>
    <w:rsid w:val="00BE0721"/>
    <w:rsid w:val="00BE3293"/>
    <w:rsid w:val="00C00365"/>
    <w:rsid w:val="00C06900"/>
    <w:rsid w:val="00C171C1"/>
    <w:rsid w:val="00C247DB"/>
    <w:rsid w:val="00C24D4C"/>
    <w:rsid w:val="00C56A25"/>
    <w:rsid w:val="00C6549D"/>
    <w:rsid w:val="00C85079"/>
    <w:rsid w:val="00C95647"/>
    <w:rsid w:val="00CA6758"/>
    <w:rsid w:val="00CB0BC6"/>
    <w:rsid w:val="00CE272C"/>
    <w:rsid w:val="00CF7BB9"/>
    <w:rsid w:val="00D01C6C"/>
    <w:rsid w:val="00D25457"/>
    <w:rsid w:val="00D35FD3"/>
    <w:rsid w:val="00D60228"/>
    <w:rsid w:val="00D65BAA"/>
    <w:rsid w:val="00D747FB"/>
    <w:rsid w:val="00DB5F8D"/>
    <w:rsid w:val="00DB791A"/>
    <w:rsid w:val="00DD4F2E"/>
    <w:rsid w:val="00DF0C93"/>
    <w:rsid w:val="00DF70AA"/>
    <w:rsid w:val="00E134F5"/>
    <w:rsid w:val="00E14FB9"/>
    <w:rsid w:val="00E31D26"/>
    <w:rsid w:val="00E32C8F"/>
    <w:rsid w:val="00E3629D"/>
    <w:rsid w:val="00E407C3"/>
    <w:rsid w:val="00E433C2"/>
    <w:rsid w:val="00E538BC"/>
    <w:rsid w:val="00E540BE"/>
    <w:rsid w:val="00E55480"/>
    <w:rsid w:val="00E62DF5"/>
    <w:rsid w:val="00E643BB"/>
    <w:rsid w:val="00E80324"/>
    <w:rsid w:val="00E903E5"/>
    <w:rsid w:val="00E911A5"/>
    <w:rsid w:val="00E91D26"/>
    <w:rsid w:val="00E93C02"/>
    <w:rsid w:val="00EA56A2"/>
    <w:rsid w:val="00EB00DB"/>
    <w:rsid w:val="00EE320C"/>
    <w:rsid w:val="00EF4DF4"/>
    <w:rsid w:val="00F04637"/>
    <w:rsid w:val="00F0610A"/>
    <w:rsid w:val="00F11CF8"/>
    <w:rsid w:val="00F13098"/>
    <w:rsid w:val="00F32300"/>
    <w:rsid w:val="00F36FD6"/>
    <w:rsid w:val="00F47585"/>
    <w:rsid w:val="00F81124"/>
    <w:rsid w:val="00F82DC9"/>
    <w:rsid w:val="00F942EA"/>
    <w:rsid w:val="00FA0577"/>
    <w:rsid w:val="00FA26ED"/>
    <w:rsid w:val="00FA3088"/>
    <w:rsid w:val="00FB5F82"/>
    <w:rsid w:val="00FC01C2"/>
    <w:rsid w:val="00FF281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6347B9"/>
  <w15:chartTrackingRefBased/>
  <w15:docId w15:val="{EB4054FE-8975-4485-9AA9-B18FE08C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62DF5"/>
    <w:pPr>
      <w:widowControl w:val="0"/>
      <w:ind w:left="820"/>
      <w:outlineLvl w:val="0"/>
    </w:pPr>
    <w:rPr>
      <w:rFont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73E39"/>
    <w:pPr>
      <w:tabs>
        <w:tab w:val="center" w:pos="4320"/>
        <w:tab w:val="right" w:pos="8640"/>
      </w:tabs>
    </w:pPr>
  </w:style>
  <w:style w:type="character" w:styleId="PageNumber">
    <w:name w:val="page number"/>
    <w:basedOn w:val="DefaultParagraphFont"/>
    <w:rsid w:val="00773E39"/>
  </w:style>
  <w:style w:type="paragraph" w:styleId="Header">
    <w:name w:val="header"/>
    <w:basedOn w:val="Normal"/>
    <w:rsid w:val="00773E39"/>
    <w:pPr>
      <w:tabs>
        <w:tab w:val="center" w:pos="4320"/>
        <w:tab w:val="right" w:pos="8640"/>
      </w:tabs>
    </w:pPr>
  </w:style>
  <w:style w:type="character" w:styleId="Hyperlink">
    <w:name w:val="Hyperlink"/>
    <w:rsid w:val="00E43D0B"/>
    <w:rPr>
      <w:color w:val="0000FF"/>
      <w:u w:val="single"/>
    </w:rPr>
  </w:style>
  <w:style w:type="paragraph" w:styleId="ListParagraph">
    <w:name w:val="List Paragraph"/>
    <w:basedOn w:val="Normal"/>
    <w:uiPriority w:val="34"/>
    <w:qFormat/>
    <w:rsid w:val="00E643BB"/>
    <w:pPr>
      <w:ind w:left="720"/>
      <w:contextualSpacing/>
    </w:pPr>
  </w:style>
  <w:style w:type="paragraph" w:styleId="BalloonText">
    <w:name w:val="Balloon Text"/>
    <w:basedOn w:val="Normal"/>
    <w:link w:val="BalloonTextChar"/>
    <w:rsid w:val="0037426F"/>
    <w:rPr>
      <w:rFonts w:ascii="Tahoma" w:hAnsi="Tahoma" w:cs="Tahoma"/>
      <w:sz w:val="16"/>
      <w:szCs w:val="16"/>
    </w:rPr>
  </w:style>
  <w:style w:type="character" w:customStyle="1" w:styleId="BalloonTextChar">
    <w:name w:val="Balloon Text Char"/>
    <w:link w:val="BalloonText"/>
    <w:rsid w:val="0037426F"/>
    <w:rPr>
      <w:rFonts w:ascii="Tahoma" w:hAnsi="Tahoma" w:cs="Tahoma"/>
      <w:sz w:val="16"/>
      <w:szCs w:val="16"/>
    </w:rPr>
  </w:style>
  <w:style w:type="paragraph" w:styleId="NormalWeb">
    <w:name w:val="Normal (Web)"/>
    <w:basedOn w:val="Normal"/>
    <w:uiPriority w:val="99"/>
    <w:unhideWhenUsed/>
    <w:rsid w:val="00BD38FC"/>
    <w:pPr>
      <w:spacing w:before="100" w:beforeAutospacing="1" w:after="100" w:afterAutospacing="1"/>
    </w:pPr>
  </w:style>
  <w:style w:type="character" w:styleId="Strong">
    <w:name w:val="Strong"/>
    <w:basedOn w:val="DefaultParagraphFont"/>
    <w:uiPriority w:val="22"/>
    <w:qFormat/>
    <w:rsid w:val="00BD38FC"/>
    <w:rPr>
      <w:b/>
      <w:bCs/>
    </w:rPr>
  </w:style>
  <w:style w:type="character" w:customStyle="1" w:styleId="Heading1Char">
    <w:name w:val="Heading 1 Char"/>
    <w:basedOn w:val="DefaultParagraphFont"/>
    <w:link w:val="Heading1"/>
    <w:uiPriority w:val="1"/>
    <w:rsid w:val="00E62DF5"/>
    <w:rPr>
      <w:rFonts w:cstheme="minorBidi"/>
      <w:b/>
      <w:bCs/>
      <w:sz w:val="24"/>
      <w:szCs w:val="24"/>
    </w:rPr>
  </w:style>
  <w:style w:type="paragraph" w:styleId="BodyText">
    <w:name w:val="Body Text"/>
    <w:basedOn w:val="Normal"/>
    <w:link w:val="BodyTextChar"/>
    <w:uiPriority w:val="1"/>
    <w:qFormat/>
    <w:rsid w:val="00E62DF5"/>
    <w:pPr>
      <w:widowControl w:val="0"/>
      <w:ind w:left="1540" w:hanging="360"/>
    </w:pPr>
    <w:rPr>
      <w:rFonts w:cstheme="minorBidi"/>
    </w:rPr>
  </w:style>
  <w:style w:type="character" w:customStyle="1" w:styleId="BodyTextChar">
    <w:name w:val="Body Text Char"/>
    <w:basedOn w:val="DefaultParagraphFont"/>
    <w:link w:val="BodyText"/>
    <w:uiPriority w:val="1"/>
    <w:rsid w:val="00E62DF5"/>
    <w:rPr>
      <w:rFonts w:cstheme="minorBidi"/>
      <w:sz w:val="24"/>
      <w:szCs w:val="24"/>
    </w:rPr>
  </w:style>
  <w:style w:type="table" w:styleId="TableGrid">
    <w:name w:val="Table Grid"/>
    <w:basedOn w:val="TableNormal"/>
    <w:uiPriority w:val="39"/>
    <w:rsid w:val="0089474A"/>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D30DA"/>
    <w:rPr>
      <w:sz w:val="16"/>
      <w:szCs w:val="16"/>
    </w:rPr>
  </w:style>
  <w:style w:type="paragraph" w:styleId="CommentText">
    <w:name w:val="annotation text"/>
    <w:basedOn w:val="Normal"/>
    <w:link w:val="CommentTextChar"/>
    <w:rsid w:val="008D30DA"/>
    <w:rPr>
      <w:sz w:val="20"/>
      <w:szCs w:val="20"/>
    </w:rPr>
  </w:style>
  <w:style w:type="character" w:customStyle="1" w:styleId="CommentTextChar">
    <w:name w:val="Comment Text Char"/>
    <w:basedOn w:val="DefaultParagraphFont"/>
    <w:link w:val="CommentText"/>
    <w:rsid w:val="008D30DA"/>
  </w:style>
  <w:style w:type="paragraph" w:styleId="CommentSubject">
    <w:name w:val="annotation subject"/>
    <w:basedOn w:val="CommentText"/>
    <w:next w:val="CommentText"/>
    <w:link w:val="CommentSubjectChar"/>
    <w:rsid w:val="008D30DA"/>
    <w:rPr>
      <w:b/>
      <w:bCs/>
    </w:rPr>
  </w:style>
  <w:style w:type="character" w:customStyle="1" w:styleId="CommentSubjectChar">
    <w:name w:val="Comment Subject Char"/>
    <w:basedOn w:val="CommentTextChar"/>
    <w:link w:val="CommentSubject"/>
    <w:rsid w:val="008D30DA"/>
    <w:rPr>
      <w:b/>
      <w:bCs/>
    </w:rPr>
  </w:style>
  <w:style w:type="character" w:customStyle="1" w:styleId="UnresolvedMention">
    <w:name w:val="Unresolved Mention"/>
    <w:basedOn w:val="DefaultParagraphFont"/>
    <w:rsid w:val="00D7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098">
      <w:bodyDiv w:val="1"/>
      <w:marLeft w:val="0"/>
      <w:marRight w:val="0"/>
      <w:marTop w:val="0"/>
      <w:marBottom w:val="0"/>
      <w:divBdr>
        <w:top w:val="none" w:sz="0" w:space="0" w:color="auto"/>
        <w:left w:val="none" w:sz="0" w:space="0" w:color="auto"/>
        <w:bottom w:val="none" w:sz="0" w:space="0" w:color="auto"/>
        <w:right w:val="none" w:sz="0" w:space="0" w:color="auto"/>
      </w:divBdr>
    </w:div>
    <w:div w:id="255359087">
      <w:bodyDiv w:val="1"/>
      <w:marLeft w:val="0"/>
      <w:marRight w:val="0"/>
      <w:marTop w:val="0"/>
      <w:marBottom w:val="0"/>
      <w:divBdr>
        <w:top w:val="none" w:sz="0" w:space="0" w:color="auto"/>
        <w:left w:val="none" w:sz="0" w:space="0" w:color="auto"/>
        <w:bottom w:val="none" w:sz="0" w:space="0" w:color="auto"/>
        <w:right w:val="none" w:sz="0" w:space="0" w:color="auto"/>
      </w:divBdr>
    </w:div>
    <w:div w:id="279534390">
      <w:bodyDiv w:val="1"/>
      <w:marLeft w:val="0"/>
      <w:marRight w:val="0"/>
      <w:marTop w:val="0"/>
      <w:marBottom w:val="0"/>
      <w:divBdr>
        <w:top w:val="none" w:sz="0" w:space="0" w:color="auto"/>
        <w:left w:val="none" w:sz="0" w:space="0" w:color="auto"/>
        <w:bottom w:val="none" w:sz="0" w:space="0" w:color="auto"/>
        <w:right w:val="none" w:sz="0" w:space="0" w:color="auto"/>
      </w:divBdr>
    </w:div>
    <w:div w:id="498885352">
      <w:bodyDiv w:val="1"/>
      <w:marLeft w:val="0"/>
      <w:marRight w:val="0"/>
      <w:marTop w:val="0"/>
      <w:marBottom w:val="0"/>
      <w:divBdr>
        <w:top w:val="none" w:sz="0" w:space="0" w:color="auto"/>
        <w:left w:val="none" w:sz="0" w:space="0" w:color="auto"/>
        <w:bottom w:val="none" w:sz="0" w:space="0" w:color="auto"/>
        <w:right w:val="none" w:sz="0" w:space="0" w:color="auto"/>
      </w:divBdr>
    </w:div>
    <w:div w:id="528883724">
      <w:bodyDiv w:val="1"/>
      <w:marLeft w:val="0"/>
      <w:marRight w:val="0"/>
      <w:marTop w:val="0"/>
      <w:marBottom w:val="0"/>
      <w:divBdr>
        <w:top w:val="none" w:sz="0" w:space="0" w:color="auto"/>
        <w:left w:val="none" w:sz="0" w:space="0" w:color="auto"/>
        <w:bottom w:val="none" w:sz="0" w:space="0" w:color="auto"/>
        <w:right w:val="none" w:sz="0" w:space="0" w:color="auto"/>
      </w:divBdr>
    </w:div>
    <w:div w:id="664624390">
      <w:bodyDiv w:val="1"/>
      <w:marLeft w:val="0"/>
      <w:marRight w:val="0"/>
      <w:marTop w:val="0"/>
      <w:marBottom w:val="0"/>
      <w:divBdr>
        <w:top w:val="none" w:sz="0" w:space="0" w:color="auto"/>
        <w:left w:val="none" w:sz="0" w:space="0" w:color="auto"/>
        <w:bottom w:val="none" w:sz="0" w:space="0" w:color="auto"/>
        <w:right w:val="none" w:sz="0" w:space="0" w:color="auto"/>
      </w:divBdr>
    </w:div>
    <w:div w:id="1061101200">
      <w:bodyDiv w:val="1"/>
      <w:marLeft w:val="0"/>
      <w:marRight w:val="0"/>
      <w:marTop w:val="0"/>
      <w:marBottom w:val="0"/>
      <w:divBdr>
        <w:top w:val="none" w:sz="0" w:space="0" w:color="auto"/>
        <w:left w:val="none" w:sz="0" w:space="0" w:color="auto"/>
        <w:bottom w:val="none" w:sz="0" w:space="0" w:color="auto"/>
        <w:right w:val="none" w:sz="0" w:space="0" w:color="auto"/>
      </w:divBdr>
    </w:div>
    <w:div w:id="1137994582">
      <w:bodyDiv w:val="1"/>
      <w:marLeft w:val="0"/>
      <w:marRight w:val="0"/>
      <w:marTop w:val="0"/>
      <w:marBottom w:val="0"/>
      <w:divBdr>
        <w:top w:val="none" w:sz="0" w:space="0" w:color="auto"/>
        <w:left w:val="none" w:sz="0" w:space="0" w:color="auto"/>
        <w:bottom w:val="none" w:sz="0" w:space="0" w:color="auto"/>
        <w:right w:val="none" w:sz="0" w:space="0" w:color="auto"/>
      </w:divBdr>
    </w:div>
    <w:div w:id="1256019507">
      <w:bodyDiv w:val="1"/>
      <w:marLeft w:val="0"/>
      <w:marRight w:val="0"/>
      <w:marTop w:val="0"/>
      <w:marBottom w:val="0"/>
      <w:divBdr>
        <w:top w:val="none" w:sz="0" w:space="0" w:color="auto"/>
        <w:left w:val="none" w:sz="0" w:space="0" w:color="auto"/>
        <w:bottom w:val="none" w:sz="0" w:space="0" w:color="auto"/>
        <w:right w:val="none" w:sz="0" w:space="0" w:color="auto"/>
      </w:divBdr>
    </w:div>
    <w:div w:id="1800997561">
      <w:bodyDiv w:val="1"/>
      <w:marLeft w:val="0"/>
      <w:marRight w:val="0"/>
      <w:marTop w:val="0"/>
      <w:marBottom w:val="0"/>
      <w:divBdr>
        <w:top w:val="none" w:sz="0" w:space="0" w:color="auto"/>
        <w:left w:val="none" w:sz="0" w:space="0" w:color="auto"/>
        <w:bottom w:val="none" w:sz="0" w:space="0" w:color="auto"/>
        <w:right w:val="none" w:sz="0" w:space="0" w:color="auto"/>
      </w:divBdr>
    </w:div>
    <w:div w:id="1817067029">
      <w:bodyDiv w:val="1"/>
      <w:marLeft w:val="0"/>
      <w:marRight w:val="0"/>
      <w:marTop w:val="0"/>
      <w:marBottom w:val="0"/>
      <w:divBdr>
        <w:top w:val="none" w:sz="0" w:space="0" w:color="auto"/>
        <w:left w:val="none" w:sz="0" w:space="0" w:color="auto"/>
        <w:bottom w:val="none" w:sz="0" w:space="0" w:color="auto"/>
        <w:right w:val="none" w:sz="0" w:space="0" w:color="auto"/>
      </w:divBdr>
    </w:div>
    <w:div w:id="1850018392">
      <w:bodyDiv w:val="1"/>
      <w:marLeft w:val="0"/>
      <w:marRight w:val="0"/>
      <w:marTop w:val="0"/>
      <w:marBottom w:val="0"/>
      <w:divBdr>
        <w:top w:val="none" w:sz="0" w:space="0" w:color="auto"/>
        <w:left w:val="none" w:sz="0" w:space="0" w:color="auto"/>
        <w:bottom w:val="none" w:sz="0" w:space="0" w:color="auto"/>
        <w:right w:val="none" w:sz="0" w:space="0" w:color="auto"/>
      </w:divBdr>
    </w:div>
    <w:div w:id="1908417992">
      <w:bodyDiv w:val="1"/>
      <w:marLeft w:val="0"/>
      <w:marRight w:val="0"/>
      <w:marTop w:val="0"/>
      <w:marBottom w:val="0"/>
      <w:divBdr>
        <w:top w:val="none" w:sz="0" w:space="0" w:color="auto"/>
        <w:left w:val="none" w:sz="0" w:space="0" w:color="auto"/>
        <w:bottom w:val="none" w:sz="0" w:space="0" w:color="auto"/>
        <w:right w:val="none" w:sz="0" w:space="0" w:color="auto"/>
      </w:divBdr>
    </w:div>
    <w:div w:id="204933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ivingwage.mit.edu/counties/24033" TargetMode="External"/><Relationship Id="rId9" Type="http://schemas.openxmlformats.org/officeDocument/2006/relationships/hyperlink" Target="https://financialaid.umd.edu/resources-policies/cost-attendance"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E0F6-D24F-E44C-BB0D-BBC0082A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12354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To:</vt:lpstr>
    </vt:vector>
  </TitlesOfParts>
  <Company>University of Maryland</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Niambi Wilder Winter</dc:creator>
  <cp:keywords/>
  <cp:lastModifiedBy>Laurie White</cp:lastModifiedBy>
  <cp:revision>2</cp:revision>
  <cp:lastPrinted>2019-02-05T20:39:00Z</cp:lastPrinted>
  <dcterms:created xsi:type="dcterms:W3CDTF">2020-02-11T18:46:00Z</dcterms:created>
  <dcterms:modified xsi:type="dcterms:W3CDTF">2020-02-11T18:46:00Z</dcterms:modified>
</cp:coreProperties>
</file>