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8B11" w14:textId="77777777" w:rsidR="00BD38FC" w:rsidRDefault="00BD38FC" w:rsidP="00BD38FC"/>
    <w:p w14:paraId="794DE264" w14:textId="77777777" w:rsidR="006E3B09" w:rsidRDefault="006E3B09" w:rsidP="00BD38FC"/>
    <w:p w14:paraId="3BF300A7" w14:textId="77777777" w:rsidR="006E3B09" w:rsidRDefault="006E3B09" w:rsidP="00BD38FC"/>
    <w:p w14:paraId="3A07C9EA" w14:textId="77777777" w:rsidR="00942DD7" w:rsidRDefault="00942DD7" w:rsidP="00942DD7">
      <w:pPr>
        <w:jc w:val="center"/>
        <w:rPr>
          <w:rFonts w:ascii="Cambria" w:eastAsia="MS Mincho" w:hAnsi="Cambria"/>
          <w:b/>
        </w:rPr>
      </w:pPr>
    </w:p>
    <w:p w14:paraId="6625E1FF" w14:textId="145C752C"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HOUSE APPROPRIATION COMMITTEE</w:t>
      </w:r>
    </w:p>
    <w:p w14:paraId="565BF2B7" w14:textId="3128C1DD"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 xml:space="preserve">House Bill </w:t>
      </w:r>
      <w:r w:rsidR="005A67E6">
        <w:rPr>
          <w:rFonts w:asciiTheme="minorHAnsi" w:eastAsia="MS Mincho" w:hAnsiTheme="minorHAnsi" w:cstheme="minorHAnsi"/>
          <w:b/>
        </w:rPr>
        <w:t>214</w:t>
      </w:r>
    </w:p>
    <w:p w14:paraId="207B32B8" w14:textId="77777777"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Higher Education – Collective Bargaining – Graduate Assistants</w:t>
      </w:r>
    </w:p>
    <w:p w14:paraId="31558753" w14:textId="023E2CA2" w:rsidR="00942DD7" w:rsidRPr="00942DD7" w:rsidRDefault="005A67E6" w:rsidP="00942DD7">
      <w:pPr>
        <w:jc w:val="center"/>
        <w:rPr>
          <w:rFonts w:asciiTheme="minorHAnsi" w:eastAsia="MS Mincho" w:hAnsiTheme="minorHAnsi" w:cstheme="minorHAnsi"/>
          <w:b/>
        </w:rPr>
      </w:pPr>
      <w:r>
        <w:rPr>
          <w:rFonts w:asciiTheme="minorHAnsi" w:eastAsia="MS Mincho" w:hAnsiTheme="minorHAnsi" w:cstheme="minorHAnsi"/>
          <w:b/>
        </w:rPr>
        <w:t>January 28</w:t>
      </w:r>
      <w:r w:rsidR="00942DD7" w:rsidRPr="00942DD7">
        <w:rPr>
          <w:rFonts w:asciiTheme="minorHAnsi" w:eastAsia="MS Mincho" w:hAnsiTheme="minorHAnsi" w:cstheme="minorHAnsi"/>
          <w:b/>
        </w:rPr>
        <w:t>, 20</w:t>
      </w:r>
      <w:r>
        <w:rPr>
          <w:rFonts w:asciiTheme="minorHAnsi" w:eastAsia="MS Mincho" w:hAnsiTheme="minorHAnsi" w:cstheme="minorHAnsi"/>
          <w:b/>
        </w:rPr>
        <w:t>20</w:t>
      </w:r>
    </w:p>
    <w:p w14:paraId="393543C2" w14:textId="344E1D1F" w:rsidR="00942DD7" w:rsidRPr="00942DD7" w:rsidRDefault="00CA6758" w:rsidP="00942DD7">
      <w:pPr>
        <w:jc w:val="center"/>
        <w:rPr>
          <w:rFonts w:asciiTheme="minorHAnsi" w:eastAsia="MS Mincho" w:hAnsiTheme="minorHAnsi" w:cstheme="minorHAnsi"/>
          <w:b/>
        </w:rPr>
      </w:pPr>
      <w:r>
        <w:rPr>
          <w:rFonts w:asciiTheme="minorHAnsi" w:eastAsia="MS Mincho" w:hAnsiTheme="minorHAnsi" w:cstheme="minorHAnsi"/>
          <w:b/>
        </w:rPr>
        <w:t>Urging an Unfavorable Report</w:t>
      </w:r>
    </w:p>
    <w:p w14:paraId="746CD6EA" w14:textId="57D9E0EF" w:rsidR="001A066F" w:rsidRPr="00942DD7" w:rsidRDefault="001A066F" w:rsidP="00BD38FC">
      <w:pPr>
        <w:rPr>
          <w:rFonts w:asciiTheme="minorHAnsi" w:hAnsiTheme="minorHAnsi" w:cstheme="minorHAnsi"/>
          <w:b/>
        </w:rPr>
      </w:pPr>
    </w:p>
    <w:p w14:paraId="77AF1017" w14:textId="77777777" w:rsidR="00F81124" w:rsidRDefault="00F81124" w:rsidP="00942DD7">
      <w:pPr>
        <w:rPr>
          <w:rFonts w:asciiTheme="minorHAnsi" w:hAnsiTheme="minorHAnsi" w:cstheme="minorHAnsi"/>
        </w:rPr>
      </w:pPr>
    </w:p>
    <w:p w14:paraId="0431B82B" w14:textId="4CD58CD8" w:rsidR="00942DD7" w:rsidRDefault="00942DD7" w:rsidP="00942DD7">
      <w:pPr>
        <w:rPr>
          <w:rFonts w:asciiTheme="minorHAnsi" w:eastAsia="MS Mincho" w:hAnsiTheme="minorHAnsi" w:cstheme="minorHAnsi"/>
        </w:rPr>
      </w:pPr>
      <w:r w:rsidRPr="00942DD7">
        <w:rPr>
          <w:rFonts w:asciiTheme="minorHAnsi" w:hAnsiTheme="minorHAnsi" w:cstheme="minorHAnsi"/>
        </w:rPr>
        <w:t>I write</w:t>
      </w:r>
      <w:r>
        <w:rPr>
          <w:rFonts w:asciiTheme="minorHAnsi" w:hAnsiTheme="minorHAnsi" w:cstheme="minorHAnsi"/>
        </w:rPr>
        <w:t xml:space="preserve"> </w:t>
      </w:r>
      <w:r w:rsidRPr="00942DD7">
        <w:rPr>
          <w:rFonts w:asciiTheme="minorHAnsi" w:eastAsia="MS Mincho" w:hAnsiTheme="minorHAnsi" w:cstheme="minorHAnsi"/>
        </w:rPr>
        <w:t xml:space="preserve">to share </w:t>
      </w:r>
      <w:r>
        <w:rPr>
          <w:rFonts w:asciiTheme="minorHAnsi" w:eastAsia="MS Mincho" w:hAnsiTheme="minorHAnsi" w:cstheme="minorHAnsi"/>
        </w:rPr>
        <w:t xml:space="preserve">my concerns regarding House Bill </w:t>
      </w:r>
      <w:r w:rsidR="0089474A">
        <w:rPr>
          <w:rFonts w:asciiTheme="minorHAnsi" w:eastAsia="MS Mincho" w:hAnsiTheme="minorHAnsi" w:cstheme="minorHAnsi"/>
        </w:rPr>
        <w:t>2</w:t>
      </w:r>
      <w:r w:rsidR="00EF4DF4">
        <w:rPr>
          <w:rFonts w:asciiTheme="minorHAnsi" w:eastAsia="MS Mincho" w:hAnsiTheme="minorHAnsi" w:cstheme="minorHAnsi"/>
        </w:rPr>
        <w:t>14</w:t>
      </w:r>
      <w:r>
        <w:rPr>
          <w:rFonts w:asciiTheme="minorHAnsi" w:eastAsia="MS Mincho" w:hAnsiTheme="minorHAnsi" w:cstheme="minorHAnsi"/>
        </w:rPr>
        <w:t xml:space="preserve">, which </w:t>
      </w:r>
      <w:r w:rsidRPr="00942DD7">
        <w:rPr>
          <w:rFonts w:asciiTheme="minorHAnsi" w:eastAsia="MS Mincho" w:hAnsiTheme="minorHAnsi" w:cstheme="minorHAnsi"/>
        </w:rPr>
        <w:t>authorizes graduate assistants to collectively bargain.</w:t>
      </w:r>
      <w:r w:rsidR="00000186">
        <w:rPr>
          <w:rFonts w:asciiTheme="minorHAnsi" w:eastAsia="MS Mincho" w:hAnsiTheme="minorHAnsi" w:cstheme="minorHAnsi"/>
        </w:rPr>
        <w:t xml:space="preserve">  </w:t>
      </w:r>
      <w:r w:rsidR="00172256">
        <w:rPr>
          <w:rFonts w:asciiTheme="minorHAnsi" w:eastAsia="MS Mincho" w:hAnsiTheme="minorHAnsi" w:cstheme="minorHAnsi"/>
        </w:rPr>
        <w:t>C</w:t>
      </w:r>
      <w:r w:rsidR="00000186">
        <w:rPr>
          <w:rFonts w:asciiTheme="minorHAnsi" w:eastAsia="MS Mincho" w:hAnsiTheme="minorHAnsi" w:cstheme="minorHAnsi"/>
        </w:rPr>
        <w:t>ollective bargaining i</w:t>
      </w:r>
      <w:r w:rsidR="00172256">
        <w:rPr>
          <w:rFonts w:asciiTheme="minorHAnsi" w:eastAsia="MS Mincho" w:hAnsiTheme="minorHAnsi" w:cstheme="minorHAnsi"/>
        </w:rPr>
        <w:t>s</w:t>
      </w:r>
      <w:r w:rsidR="00000186">
        <w:rPr>
          <w:rFonts w:asciiTheme="minorHAnsi" w:eastAsia="MS Mincho" w:hAnsiTheme="minorHAnsi" w:cstheme="minorHAnsi"/>
        </w:rPr>
        <w:t xml:space="preserve"> inappropriate, unnecessary, and not in the </w:t>
      </w:r>
      <w:r w:rsidR="00172256">
        <w:rPr>
          <w:rFonts w:asciiTheme="minorHAnsi" w:eastAsia="MS Mincho" w:hAnsiTheme="minorHAnsi" w:cstheme="minorHAnsi"/>
        </w:rPr>
        <w:t xml:space="preserve">overall </w:t>
      </w:r>
      <w:r w:rsidR="00000186">
        <w:rPr>
          <w:rFonts w:asciiTheme="minorHAnsi" w:eastAsia="MS Mincho" w:hAnsiTheme="minorHAnsi" w:cstheme="minorHAnsi"/>
        </w:rPr>
        <w:t>interests of graduate students</w:t>
      </w:r>
      <w:r w:rsidR="00172256">
        <w:rPr>
          <w:rFonts w:asciiTheme="minorHAnsi" w:eastAsia="MS Mincho" w:hAnsiTheme="minorHAnsi" w:cstheme="minorHAnsi"/>
        </w:rPr>
        <w:t xml:space="preserve"> and graduate programs</w:t>
      </w:r>
      <w:r w:rsidR="00000186">
        <w:rPr>
          <w:rFonts w:asciiTheme="minorHAnsi" w:eastAsia="MS Mincho" w:hAnsiTheme="minorHAnsi" w:cstheme="minorHAnsi"/>
        </w:rPr>
        <w:t>.</w:t>
      </w:r>
    </w:p>
    <w:p w14:paraId="685D0756" w14:textId="26F85A3B" w:rsidR="00942DD7" w:rsidRDefault="00942DD7" w:rsidP="00942DD7">
      <w:pPr>
        <w:rPr>
          <w:rFonts w:asciiTheme="minorHAnsi" w:eastAsia="MS Mincho" w:hAnsiTheme="minorHAnsi" w:cstheme="minorHAnsi"/>
        </w:rPr>
      </w:pPr>
    </w:p>
    <w:p w14:paraId="4F9BE674" w14:textId="01DD2CF8" w:rsidR="00000186" w:rsidRDefault="00000186" w:rsidP="00000186">
      <w:pPr>
        <w:rPr>
          <w:rFonts w:asciiTheme="minorHAnsi" w:eastAsia="MS Mincho" w:hAnsiTheme="minorHAnsi" w:cstheme="minorHAnsi"/>
        </w:rPr>
      </w:pPr>
      <w:r>
        <w:rPr>
          <w:rFonts w:asciiTheme="minorHAnsi" w:eastAsia="MS Mincho" w:hAnsiTheme="minorHAnsi" w:cstheme="minorHAnsi"/>
        </w:rPr>
        <w:t>Collective bargaining is inappropriate because graduate assistants are students and the duties they perform as graduate assistants are part of their education.  Some graduate programs expect or require all students to teach</w:t>
      </w:r>
      <w:r w:rsidRPr="00942DD7">
        <w:rPr>
          <w:rFonts w:asciiTheme="minorHAnsi" w:eastAsia="MS Mincho" w:hAnsiTheme="minorHAnsi" w:cstheme="minorHAnsi"/>
        </w:rPr>
        <w:t xml:space="preserve">. </w:t>
      </w:r>
      <w:r>
        <w:rPr>
          <w:rFonts w:asciiTheme="minorHAnsi" w:eastAsia="MS Mincho" w:hAnsiTheme="minorHAnsi" w:cstheme="minorHAnsi"/>
        </w:rPr>
        <w:t xml:space="preserve"> Most teaching assistants lead </w:t>
      </w:r>
      <w:r w:rsidRPr="00942DD7">
        <w:rPr>
          <w:rFonts w:asciiTheme="minorHAnsi" w:eastAsia="MS Mincho" w:hAnsiTheme="minorHAnsi" w:cstheme="minorHAnsi"/>
        </w:rPr>
        <w:t xml:space="preserve">discussion </w:t>
      </w:r>
      <w:r>
        <w:rPr>
          <w:rFonts w:asciiTheme="minorHAnsi" w:eastAsia="MS Mincho" w:hAnsiTheme="minorHAnsi" w:cstheme="minorHAnsi"/>
        </w:rPr>
        <w:t xml:space="preserve">or lab </w:t>
      </w:r>
      <w:r w:rsidRPr="00942DD7">
        <w:rPr>
          <w:rFonts w:asciiTheme="minorHAnsi" w:eastAsia="MS Mincho" w:hAnsiTheme="minorHAnsi" w:cstheme="minorHAnsi"/>
        </w:rPr>
        <w:t xml:space="preserve">sections under the guidance of </w:t>
      </w:r>
      <w:r>
        <w:rPr>
          <w:rFonts w:asciiTheme="minorHAnsi" w:eastAsia="MS Mincho" w:hAnsiTheme="minorHAnsi" w:cstheme="minorHAnsi"/>
        </w:rPr>
        <w:t>a</w:t>
      </w:r>
      <w:r w:rsidRPr="00942DD7">
        <w:rPr>
          <w:rFonts w:asciiTheme="minorHAnsi" w:eastAsia="MS Mincho" w:hAnsiTheme="minorHAnsi" w:cstheme="minorHAnsi"/>
        </w:rPr>
        <w:t xml:space="preserve"> faculty member</w:t>
      </w:r>
      <w:r>
        <w:rPr>
          <w:rFonts w:asciiTheme="minorHAnsi" w:eastAsia="MS Mincho" w:hAnsiTheme="minorHAnsi" w:cstheme="minorHAnsi"/>
        </w:rPr>
        <w:t>; in doing so</w:t>
      </w:r>
      <w:r w:rsidRPr="00942DD7">
        <w:rPr>
          <w:rFonts w:asciiTheme="minorHAnsi" w:eastAsia="MS Mincho" w:hAnsiTheme="minorHAnsi" w:cstheme="minorHAnsi"/>
        </w:rPr>
        <w:t xml:space="preserve">, </w:t>
      </w:r>
      <w:r>
        <w:rPr>
          <w:rFonts w:asciiTheme="minorHAnsi" w:eastAsia="MS Mincho" w:hAnsiTheme="minorHAnsi" w:cstheme="minorHAnsi"/>
        </w:rPr>
        <w:t xml:space="preserve">they gain valuable teaching experience and </w:t>
      </w:r>
      <w:r w:rsidRPr="00942DD7">
        <w:rPr>
          <w:rFonts w:asciiTheme="minorHAnsi" w:eastAsia="MS Mincho" w:hAnsiTheme="minorHAnsi" w:cstheme="minorHAnsi"/>
        </w:rPr>
        <w:t>learn the subject more deeply</w:t>
      </w:r>
      <w:r>
        <w:rPr>
          <w:rFonts w:asciiTheme="minorHAnsi" w:eastAsia="MS Mincho" w:hAnsiTheme="minorHAnsi" w:cstheme="minorHAnsi"/>
        </w:rPr>
        <w:t xml:space="preserve"> by learning </w:t>
      </w:r>
      <w:r w:rsidRPr="00942DD7">
        <w:rPr>
          <w:rFonts w:asciiTheme="minorHAnsi" w:eastAsia="MS Mincho" w:hAnsiTheme="minorHAnsi" w:cstheme="minorHAnsi"/>
        </w:rPr>
        <w:t xml:space="preserve">to explain it to others.  </w:t>
      </w:r>
      <w:r>
        <w:rPr>
          <w:rFonts w:asciiTheme="minorHAnsi" w:eastAsia="MS Mincho" w:hAnsiTheme="minorHAnsi" w:cstheme="minorHAnsi"/>
        </w:rPr>
        <w:t>R</w:t>
      </w:r>
      <w:r w:rsidRPr="00942DD7">
        <w:rPr>
          <w:rFonts w:asciiTheme="minorHAnsi" w:eastAsia="MS Mincho" w:hAnsiTheme="minorHAnsi" w:cstheme="minorHAnsi"/>
        </w:rPr>
        <w:t>esearch assistants</w:t>
      </w:r>
      <w:r>
        <w:rPr>
          <w:rFonts w:asciiTheme="minorHAnsi" w:eastAsia="MS Mincho" w:hAnsiTheme="minorHAnsi" w:cstheme="minorHAnsi"/>
        </w:rPr>
        <w:t xml:space="preserve">hips allow students to learn to do </w:t>
      </w:r>
      <w:r w:rsidRPr="00942DD7">
        <w:rPr>
          <w:rFonts w:asciiTheme="minorHAnsi" w:eastAsia="MS Mincho" w:hAnsiTheme="minorHAnsi" w:cstheme="minorHAnsi"/>
        </w:rPr>
        <w:t>original research under the guidance of a faculty mentor</w:t>
      </w:r>
      <w:r>
        <w:rPr>
          <w:rFonts w:asciiTheme="minorHAnsi" w:eastAsia="MS Mincho" w:hAnsiTheme="minorHAnsi" w:cstheme="minorHAnsi"/>
        </w:rPr>
        <w:t>—research that often is identical to their doctoral dissertation research</w:t>
      </w:r>
      <w:r w:rsidRPr="00942DD7">
        <w:rPr>
          <w:rFonts w:asciiTheme="minorHAnsi" w:eastAsia="MS Mincho" w:hAnsiTheme="minorHAnsi" w:cstheme="minorHAnsi"/>
        </w:rPr>
        <w:t xml:space="preserve">.  </w:t>
      </w:r>
      <w:r>
        <w:rPr>
          <w:rFonts w:asciiTheme="minorHAnsi" w:eastAsia="MS Mincho" w:hAnsiTheme="minorHAnsi" w:cstheme="minorHAnsi"/>
        </w:rPr>
        <w:t xml:space="preserve">In both cases, the assistantship is more like an apprenticeship or traineeship than traditional employment. </w:t>
      </w:r>
    </w:p>
    <w:p w14:paraId="1D12C843" w14:textId="74998596" w:rsidR="00000186" w:rsidRDefault="00000186" w:rsidP="00000186">
      <w:pPr>
        <w:rPr>
          <w:rFonts w:asciiTheme="minorHAnsi" w:eastAsia="MS Mincho" w:hAnsiTheme="minorHAnsi" w:cstheme="minorHAnsi"/>
        </w:rPr>
      </w:pPr>
    </w:p>
    <w:p w14:paraId="30ED99E8" w14:textId="3DEE7786" w:rsidR="00000186" w:rsidRDefault="00000186" w:rsidP="00000186">
      <w:pPr>
        <w:spacing w:after="240"/>
        <w:rPr>
          <w:rFonts w:asciiTheme="minorHAnsi" w:eastAsia="MS Mincho" w:hAnsiTheme="minorHAnsi" w:cstheme="minorHAnsi"/>
        </w:rPr>
      </w:pPr>
      <w:r>
        <w:rPr>
          <w:rFonts w:asciiTheme="minorHAnsi" w:eastAsia="MS Mincho" w:hAnsiTheme="minorHAnsi" w:cstheme="minorHAnsi"/>
        </w:rPr>
        <w:t xml:space="preserve">Collective bargaining is unnecessary to </w:t>
      </w:r>
      <w:r w:rsidRPr="008F1733">
        <w:rPr>
          <w:rFonts w:asciiTheme="minorHAnsi" w:eastAsia="MS Mincho" w:hAnsiTheme="minorHAnsi" w:cstheme="minorHAnsi"/>
        </w:rPr>
        <w:t xml:space="preserve">address </w:t>
      </w:r>
      <w:r>
        <w:rPr>
          <w:rFonts w:asciiTheme="minorHAnsi" w:eastAsia="MS Mincho" w:hAnsiTheme="minorHAnsi" w:cstheme="minorHAnsi"/>
        </w:rPr>
        <w:t xml:space="preserve">the concerns of graduate assistants.  The university has a “Meet and Confer” process in which an elected group of GAs, the Graduate Assistant Advisory Committee (GAAC), meets with university leadership (Provost, Vice President for Finance and Administration, and </w:t>
      </w:r>
      <w:proofErr w:type="gramStart"/>
      <w:r w:rsidR="00172256">
        <w:rPr>
          <w:rFonts w:asciiTheme="minorHAnsi" w:eastAsia="MS Mincho" w:hAnsiTheme="minorHAnsi" w:cstheme="minorHAnsi"/>
        </w:rPr>
        <w:t>myself</w:t>
      </w:r>
      <w:proofErr w:type="gramEnd"/>
      <w:r>
        <w:rPr>
          <w:rFonts w:asciiTheme="minorHAnsi" w:eastAsia="MS Mincho" w:hAnsiTheme="minorHAnsi" w:cstheme="minorHAnsi"/>
        </w:rPr>
        <w:t>) at least once per semester to discuss concerns and possible solutions.  Partly as a result of these discussions:</w:t>
      </w:r>
    </w:p>
    <w:p w14:paraId="2636226A" w14:textId="77777777" w:rsidR="00000186" w:rsidRDefault="00000186" w:rsidP="00000186">
      <w:pPr>
        <w:pStyle w:val="ListParagraph"/>
        <w:numPr>
          <w:ilvl w:val="0"/>
          <w:numId w:val="19"/>
        </w:numPr>
        <w:spacing w:after="120"/>
        <w:contextualSpacing w:val="0"/>
        <w:rPr>
          <w:rFonts w:asciiTheme="minorHAnsi" w:eastAsia="MS Mincho" w:hAnsiTheme="minorHAnsi" w:cstheme="minorHAnsi"/>
        </w:rPr>
      </w:pPr>
      <w:r>
        <w:rPr>
          <w:rFonts w:asciiTheme="minorHAnsi" w:eastAsia="MS Mincho" w:hAnsiTheme="minorHAnsi" w:cstheme="minorHAnsi"/>
        </w:rPr>
        <w:t>M</w:t>
      </w:r>
      <w:r w:rsidRPr="00994098">
        <w:rPr>
          <w:rFonts w:asciiTheme="minorHAnsi" w:eastAsia="MS Mincho" w:hAnsiTheme="minorHAnsi" w:cstheme="minorHAnsi"/>
        </w:rPr>
        <w:t>inimum stipends have increased 17.6% since July 2018</w:t>
      </w:r>
      <w:r>
        <w:rPr>
          <w:rFonts w:asciiTheme="minorHAnsi" w:eastAsia="MS Mincho" w:hAnsiTheme="minorHAnsi" w:cstheme="minorHAnsi"/>
        </w:rPr>
        <w:t xml:space="preserve">, </w:t>
      </w:r>
      <w:r w:rsidRPr="00994098">
        <w:rPr>
          <w:rFonts w:asciiTheme="minorHAnsi" w:eastAsia="MS Mincho" w:hAnsiTheme="minorHAnsi" w:cstheme="minorHAnsi"/>
        </w:rPr>
        <w:t>bringing minimum stipends to above the cost of attendance and above the Big Ten median</w:t>
      </w:r>
      <w:r>
        <w:rPr>
          <w:rFonts w:asciiTheme="minorHAnsi" w:eastAsia="MS Mincho" w:hAnsiTheme="minorHAnsi" w:cstheme="minorHAnsi"/>
        </w:rPr>
        <w:t xml:space="preserve"> (see attached table).</w:t>
      </w:r>
    </w:p>
    <w:p w14:paraId="05D2FAC7" w14:textId="77777777" w:rsidR="00000186" w:rsidRDefault="00000186" w:rsidP="00000186">
      <w:pPr>
        <w:pStyle w:val="ListParagraph"/>
        <w:numPr>
          <w:ilvl w:val="0"/>
          <w:numId w:val="19"/>
        </w:numPr>
        <w:spacing w:after="120"/>
        <w:contextualSpacing w:val="0"/>
        <w:rPr>
          <w:rFonts w:asciiTheme="minorHAnsi" w:eastAsia="MS Mincho" w:hAnsiTheme="minorHAnsi" w:cstheme="minorHAnsi"/>
        </w:rPr>
      </w:pPr>
      <w:r>
        <w:rPr>
          <w:rFonts w:asciiTheme="minorHAnsi" w:eastAsia="MS Mincho" w:hAnsiTheme="minorHAnsi" w:cstheme="minorHAnsi"/>
        </w:rPr>
        <w:t>E</w:t>
      </w:r>
      <w:r w:rsidRPr="00994098">
        <w:rPr>
          <w:rFonts w:asciiTheme="minorHAnsi" w:eastAsia="MS Mincho" w:hAnsiTheme="minorHAnsi" w:cstheme="minorHAnsi"/>
        </w:rPr>
        <w:t>xpectation-setting meeting</w:t>
      </w:r>
      <w:r>
        <w:rPr>
          <w:rFonts w:asciiTheme="minorHAnsi" w:eastAsia="MS Mincho" w:hAnsiTheme="minorHAnsi" w:cstheme="minorHAnsi"/>
        </w:rPr>
        <w:t xml:space="preserve">s </w:t>
      </w:r>
      <w:r w:rsidRPr="00994098">
        <w:rPr>
          <w:rFonts w:asciiTheme="minorHAnsi" w:eastAsia="MS Mincho" w:hAnsiTheme="minorHAnsi" w:cstheme="minorHAnsi"/>
        </w:rPr>
        <w:t xml:space="preserve">between GAs and their supervisors </w:t>
      </w:r>
      <w:r>
        <w:rPr>
          <w:rFonts w:asciiTheme="minorHAnsi" w:eastAsia="MS Mincho" w:hAnsiTheme="minorHAnsi" w:cstheme="minorHAnsi"/>
        </w:rPr>
        <w:t xml:space="preserve">are </w:t>
      </w:r>
      <w:r w:rsidRPr="00994098">
        <w:rPr>
          <w:rFonts w:asciiTheme="minorHAnsi" w:eastAsia="MS Mincho" w:hAnsiTheme="minorHAnsi" w:cstheme="minorHAnsi"/>
        </w:rPr>
        <w:t>required and statements of mutual expectation have been developed to guide those discussions</w:t>
      </w:r>
      <w:r>
        <w:rPr>
          <w:rFonts w:asciiTheme="minorHAnsi" w:eastAsia="MS Mincho" w:hAnsiTheme="minorHAnsi" w:cstheme="minorHAnsi"/>
        </w:rPr>
        <w:t>.</w:t>
      </w:r>
    </w:p>
    <w:p w14:paraId="09EB5599" w14:textId="77777777" w:rsidR="00000186" w:rsidRDefault="00000186" w:rsidP="00000186">
      <w:pPr>
        <w:pStyle w:val="ListParagraph"/>
        <w:numPr>
          <w:ilvl w:val="0"/>
          <w:numId w:val="19"/>
        </w:numPr>
        <w:spacing w:after="120"/>
        <w:contextualSpacing w:val="0"/>
        <w:rPr>
          <w:rFonts w:asciiTheme="minorHAnsi" w:eastAsia="MS Mincho" w:hAnsiTheme="minorHAnsi" w:cstheme="minorHAnsi"/>
        </w:rPr>
      </w:pPr>
      <w:r>
        <w:rPr>
          <w:rFonts w:asciiTheme="minorHAnsi" w:eastAsia="MS Mincho" w:hAnsiTheme="minorHAnsi" w:cstheme="minorHAnsi"/>
        </w:rPr>
        <w:t xml:space="preserve">Policies have been </w:t>
      </w:r>
      <w:r w:rsidRPr="00994098">
        <w:rPr>
          <w:rFonts w:asciiTheme="minorHAnsi" w:eastAsia="MS Mincho" w:hAnsiTheme="minorHAnsi" w:cstheme="minorHAnsi"/>
        </w:rPr>
        <w:t>adopt</w:t>
      </w:r>
      <w:r>
        <w:rPr>
          <w:rFonts w:asciiTheme="minorHAnsi" w:eastAsia="MS Mincho" w:hAnsiTheme="minorHAnsi" w:cstheme="minorHAnsi"/>
        </w:rPr>
        <w:t xml:space="preserve">ed to allow </w:t>
      </w:r>
      <w:r w:rsidRPr="00994098">
        <w:rPr>
          <w:rFonts w:asciiTheme="minorHAnsi" w:eastAsia="MS Mincho" w:hAnsiTheme="minorHAnsi" w:cstheme="minorHAnsi"/>
        </w:rPr>
        <w:t>for time away from duties and parental leave</w:t>
      </w:r>
      <w:r>
        <w:rPr>
          <w:rFonts w:asciiTheme="minorHAnsi" w:eastAsia="MS Mincho" w:hAnsiTheme="minorHAnsi" w:cstheme="minorHAnsi"/>
        </w:rPr>
        <w:t>.</w:t>
      </w:r>
      <w:r w:rsidRPr="00994098">
        <w:rPr>
          <w:rFonts w:asciiTheme="minorHAnsi" w:eastAsia="MS Mincho" w:hAnsiTheme="minorHAnsi" w:cstheme="minorHAnsi"/>
        </w:rPr>
        <w:t xml:space="preserve"> </w:t>
      </w:r>
    </w:p>
    <w:p w14:paraId="243F95FE" w14:textId="77777777" w:rsidR="00000186" w:rsidRDefault="00000186" w:rsidP="00000186">
      <w:pPr>
        <w:pStyle w:val="ListParagraph"/>
        <w:numPr>
          <w:ilvl w:val="0"/>
          <w:numId w:val="19"/>
        </w:numPr>
        <w:spacing w:after="120"/>
        <w:contextualSpacing w:val="0"/>
        <w:rPr>
          <w:rFonts w:asciiTheme="minorHAnsi" w:eastAsia="MS Mincho" w:hAnsiTheme="minorHAnsi" w:cstheme="minorHAnsi"/>
        </w:rPr>
      </w:pPr>
      <w:r>
        <w:rPr>
          <w:rFonts w:asciiTheme="minorHAnsi" w:eastAsia="MS Mincho" w:hAnsiTheme="minorHAnsi" w:cstheme="minorHAnsi"/>
        </w:rPr>
        <w:t>A</w:t>
      </w:r>
      <w:r w:rsidRPr="00994098">
        <w:rPr>
          <w:rFonts w:asciiTheme="minorHAnsi" w:eastAsia="MS Mincho" w:hAnsiTheme="minorHAnsi" w:cstheme="minorHAnsi"/>
        </w:rPr>
        <w:t xml:space="preserve"> grievance policy and process</w:t>
      </w:r>
      <w:r>
        <w:rPr>
          <w:rFonts w:asciiTheme="minorHAnsi" w:eastAsia="MS Mincho" w:hAnsiTheme="minorHAnsi" w:cstheme="minorHAnsi"/>
        </w:rPr>
        <w:t xml:space="preserve"> have been implemented.</w:t>
      </w:r>
      <w:r w:rsidRPr="00994098">
        <w:rPr>
          <w:rFonts w:asciiTheme="minorHAnsi" w:eastAsia="MS Mincho" w:hAnsiTheme="minorHAnsi" w:cstheme="minorHAnsi"/>
        </w:rPr>
        <w:t xml:space="preserve"> </w:t>
      </w:r>
    </w:p>
    <w:p w14:paraId="3669E8B9" w14:textId="77777777" w:rsidR="00000186" w:rsidRDefault="00000186" w:rsidP="00000186">
      <w:pPr>
        <w:pStyle w:val="ListParagraph"/>
        <w:numPr>
          <w:ilvl w:val="0"/>
          <w:numId w:val="19"/>
        </w:numPr>
        <w:spacing w:after="120"/>
        <w:contextualSpacing w:val="0"/>
        <w:rPr>
          <w:rFonts w:asciiTheme="minorHAnsi" w:eastAsia="MS Mincho" w:hAnsiTheme="minorHAnsi" w:cstheme="minorHAnsi"/>
        </w:rPr>
      </w:pPr>
      <w:r>
        <w:rPr>
          <w:rFonts w:asciiTheme="minorHAnsi" w:eastAsia="MS Mincho" w:hAnsiTheme="minorHAnsi" w:cstheme="minorHAnsi"/>
        </w:rPr>
        <w:t xml:space="preserve">In response to concerns that GAs were working much more than 20 hours per week, </w:t>
      </w:r>
      <w:r w:rsidRPr="00994098">
        <w:rPr>
          <w:rFonts w:asciiTheme="minorHAnsi" w:eastAsia="MS Mincho" w:hAnsiTheme="minorHAnsi" w:cstheme="minorHAnsi"/>
        </w:rPr>
        <w:t xml:space="preserve">a time-use study </w:t>
      </w:r>
      <w:r>
        <w:rPr>
          <w:rFonts w:asciiTheme="minorHAnsi" w:eastAsia="MS Mincho" w:hAnsiTheme="minorHAnsi" w:cstheme="minorHAnsi"/>
        </w:rPr>
        <w:t xml:space="preserve">was commissioned.  This study </w:t>
      </w:r>
      <w:r w:rsidRPr="00994098">
        <w:rPr>
          <w:rFonts w:asciiTheme="minorHAnsi" w:eastAsia="MS Mincho" w:hAnsiTheme="minorHAnsi" w:cstheme="minorHAnsi"/>
        </w:rPr>
        <w:t xml:space="preserve">showed </w:t>
      </w:r>
      <w:r>
        <w:rPr>
          <w:rFonts w:asciiTheme="minorHAnsi" w:eastAsia="MS Mincho" w:hAnsiTheme="minorHAnsi" w:cstheme="minorHAnsi"/>
        </w:rPr>
        <w:t xml:space="preserve">that </w:t>
      </w:r>
      <w:r w:rsidRPr="00994098">
        <w:rPr>
          <w:rFonts w:asciiTheme="minorHAnsi" w:eastAsia="MS Mincho" w:hAnsiTheme="minorHAnsi" w:cstheme="minorHAnsi"/>
        </w:rPr>
        <w:t xml:space="preserve">GAs </w:t>
      </w:r>
      <w:r>
        <w:rPr>
          <w:rFonts w:asciiTheme="minorHAnsi" w:eastAsia="MS Mincho" w:hAnsiTheme="minorHAnsi" w:cstheme="minorHAnsi"/>
        </w:rPr>
        <w:t xml:space="preserve">spend an average of 18 </w:t>
      </w:r>
      <w:r w:rsidRPr="00994098">
        <w:rPr>
          <w:rFonts w:asciiTheme="minorHAnsi" w:eastAsia="MS Mincho" w:hAnsiTheme="minorHAnsi" w:cstheme="minorHAnsi"/>
        </w:rPr>
        <w:t>hours per week</w:t>
      </w:r>
      <w:r>
        <w:rPr>
          <w:rFonts w:asciiTheme="minorHAnsi" w:eastAsia="MS Mincho" w:hAnsiTheme="minorHAnsi" w:cstheme="minorHAnsi"/>
        </w:rPr>
        <w:t xml:space="preserve"> on GA duties.</w:t>
      </w:r>
    </w:p>
    <w:p w14:paraId="1811C492" w14:textId="77777777" w:rsidR="00000186" w:rsidRPr="00994098" w:rsidRDefault="00000186" w:rsidP="00000186">
      <w:pPr>
        <w:pStyle w:val="ListParagraph"/>
        <w:numPr>
          <w:ilvl w:val="0"/>
          <w:numId w:val="19"/>
        </w:numPr>
        <w:rPr>
          <w:rFonts w:asciiTheme="minorHAnsi" w:eastAsia="MS Mincho" w:hAnsiTheme="minorHAnsi" w:cstheme="minorHAnsi"/>
        </w:rPr>
      </w:pPr>
      <w:r>
        <w:rPr>
          <w:rFonts w:asciiTheme="minorHAnsi" w:eastAsia="MS Mincho" w:hAnsiTheme="minorHAnsi" w:cstheme="minorHAnsi"/>
        </w:rPr>
        <w:t>The new position of Graduate Academic Counselor was created and filled, to help GAs and students experiencing difficulties access university services.</w:t>
      </w:r>
    </w:p>
    <w:p w14:paraId="7CAED3D3" w14:textId="77777777" w:rsidR="00000186" w:rsidRDefault="00000186" w:rsidP="00000186">
      <w:pPr>
        <w:rPr>
          <w:rFonts w:asciiTheme="minorHAnsi" w:eastAsia="MS Mincho" w:hAnsiTheme="minorHAnsi" w:cstheme="minorHAnsi"/>
        </w:rPr>
      </w:pPr>
    </w:p>
    <w:p w14:paraId="2CE6AC97" w14:textId="77777777" w:rsidR="00172256" w:rsidRDefault="00000186" w:rsidP="00000186">
      <w:pPr>
        <w:rPr>
          <w:rFonts w:asciiTheme="minorHAnsi" w:eastAsia="MS Mincho" w:hAnsiTheme="minorHAnsi" w:cstheme="minorHAnsi"/>
        </w:rPr>
      </w:pPr>
      <w:r w:rsidRPr="00B3316B">
        <w:rPr>
          <w:rFonts w:asciiTheme="minorHAnsi" w:eastAsia="MS Mincho" w:hAnsiTheme="minorHAnsi" w:cstheme="minorHAnsi"/>
        </w:rPr>
        <w:lastRenderedPageBreak/>
        <w:t xml:space="preserve">The “Meet and Confer” process provides </w:t>
      </w:r>
      <w:r>
        <w:rPr>
          <w:rFonts w:asciiTheme="minorHAnsi" w:eastAsia="MS Mincho" w:hAnsiTheme="minorHAnsi" w:cstheme="minorHAnsi"/>
        </w:rPr>
        <w:t xml:space="preserve">GAs </w:t>
      </w:r>
      <w:r w:rsidRPr="00B3316B">
        <w:rPr>
          <w:rFonts w:asciiTheme="minorHAnsi" w:eastAsia="MS Mincho" w:hAnsiTheme="minorHAnsi" w:cstheme="minorHAnsi"/>
        </w:rPr>
        <w:t>with many of the perceived benefits that collective bargaining offers, including the right to engage a labor organization to assist them in this process.</w:t>
      </w:r>
      <w:r>
        <w:rPr>
          <w:rFonts w:asciiTheme="minorHAnsi" w:eastAsia="MS Mincho" w:hAnsiTheme="minorHAnsi" w:cstheme="minorHAnsi"/>
        </w:rPr>
        <w:t xml:space="preserve">  In the ten years that the “Meet and Confer” process has been in place, GAAC has declined to engage a labor organization.  </w:t>
      </w:r>
    </w:p>
    <w:p w14:paraId="1DAA378E" w14:textId="77777777" w:rsidR="00172256" w:rsidRDefault="00172256" w:rsidP="00000186">
      <w:pPr>
        <w:rPr>
          <w:rFonts w:asciiTheme="minorHAnsi" w:eastAsia="MS Mincho" w:hAnsiTheme="minorHAnsi" w:cstheme="minorHAnsi"/>
        </w:rPr>
      </w:pPr>
    </w:p>
    <w:p w14:paraId="5A014E18" w14:textId="652C5629" w:rsidR="00000186" w:rsidRDefault="00000186" w:rsidP="00000186">
      <w:pPr>
        <w:rPr>
          <w:rFonts w:asciiTheme="minorHAnsi" w:eastAsia="MS Mincho" w:hAnsiTheme="minorHAnsi" w:cstheme="minorHAnsi"/>
        </w:rPr>
      </w:pPr>
      <w:r>
        <w:rPr>
          <w:rFonts w:asciiTheme="minorHAnsi" w:eastAsia="MS Mincho" w:hAnsiTheme="minorHAnsi" w:cstheme="minorHAnsi"/>
        </w:rPr>
        <w:t>In addition to the “Meet and Confer” process, g</w:t>
      </w:r>
      <w:r w:rsidRPr="00B730E4">
        <w:rPr>
          <w:rFonts w:asciiTheme="minorHAnsi" w:eastAsia="MS Mincho" w:hAnsiTheme="minorHAnsi" w:cstheme="minorHAnsi"/>
        </w:rPr>
        <w:t xml:space="preserve">raduate students serve on the Graduate Council, which helps make policy for graduate education, including </w:t>
      </w:r>
      <w:r>
        <w:rPr>
          <w:rFonts w:asciiTheme="minorHAnsi" w:eastAsia="MS Mincho" w:hAnsiTheme="minorHAnsi" w:cstheme="minorHAnsi"/>
        </w:rPr>
        <w:t xml:space="preserve">policy </w:t>
      </w:r>
      <w:r w:rsidRPr="00B730E4">
        <w:rPr>
          <w:rFonts w:asciiTheme="minorHAnsi" w:eastAsia="MS Mincho" w:hAnsiTheme="minorHAnsi" w:cstheme="minorHAnsi"/>
        </w:rPr>
        <w:t>relating to graduate assistants.</w:t>
      </w:r>
      <w:r>
        <w:rPr>
          <w:rFonts w:asciiTheme="minorHAnsi" w:eastAsia="MS Mincho" w:hAnsiTheme="minorHAnsi" w:cstheme="minorHAnsi"/>
        </w:rPr>
        <w:t xml:space="preserve">  </w:t>
      </w:r>
      <w:r w:rsidR="00172256">
        <w:rPr>
          <w:rFonts w:asciiTheme="minorHAnsi" w:eastAsia="MS Mincho" w:hAnsiTheme="minorHAnsi" w:cstheme="minorHAnsi"/>
        </w:rPr>
        <w:t xml:space="preserve">I </w:t>
      </w:r>
      <w:r>
        <w:rPr>
          <w:rFonts w:asciiTheme="minorHAnsi" w:eastAsia="MS Mincho" w:hAnsiTheme="minorHAnsi" w:cstheme="minorHAnsi"/>
        </w:rPr>
        <w:t>also meet</w:t>
      </w:r>
      <w:r w:rsidR="00172256">
        <w:rPr>
          <w:rFonts w:asciiTheme="minorHAnsi" w:eastAsia="MS Mincho" w:hAnsiTheme="minorHAnsi" w:cstheme="minorHAnsi"/>
        </w:rPr>
        <w:t xml:space="preserve"> </w:t>
      </w:r>
      <w:r>
        <w:rPr>
          <w:rFonts w:asciiTheme="minorHAnsi" w:eastAsia="MS Mincho" w:hAnsiTheme="minorHAnsi" w:cstheme="minorHAnsi"/>
        </w:rPr>
        <w:t>regularly with leadership of the Graduate Student Government.</w:t>
      </w:r>
    </w:p>
    <w:p w14:paraId="7F1DE613" w14:textId="77777777" w:rsidR="00000186" w:rsidRDefault="00000186" w:rsidP="00000186">
      <w:pPr>
        <w:rPr>
          <w:rFonts w:asciiTheme="minorHAnsi" w:eastAsia="MS Mincho" w:hAnsiTheme="minorHAnsi" w:cstheme="minorHAnsi"/>
        </w:rPr>
      </w:pPr>
    </w:p>
    <w:p w14:paraId="391074AB" w14:textId="736F7DA8" w:rsidR="00000186" w:rsidRPr="006767E0" w:rsidRDefault="00000186" w:rsidP="00000186">
      <w:pPr>
        <w:rPr>
          <w:rFonts w:asciiTheme="minorHAnsi" w:eastAsia="MS Mincho" w:hAnsiTheme="minorHAnsi" w:cstheme="minorHAnsi"/>
        </w:rPr>
      </w:pPr>
      <w:r w:rsidRPr="006767E0">
        <w:rPr>
          <w:rFonts w:asciiTheme="minorHAnsi" w:eastAsia="MS Mincho" w:hAnsiTheme="minorHAnsi" w:cstheme="minorHAnsi"/>
        </w:rPr>
        <w:t xml:space="preserve">The </w:t>
      </w:r>
      <w:r>
        <w:rPr>
          <w:rFonts w:asciiTheme="minorHAnsi" w:eastAsia="MS Mincho" w:hAnsiTheme="minorHAnsi" w:cstheme="minorHAnsi"/>
        </w:rPr>
        <w:t xml:space="preserve">Graduate School </w:t>
      </w:r>
      <w:r w:rsidR="00172256">
        <w:rPr>
          <w:rFonts w:asciiTheme="minorHAnsi" w:eastAsia="MS Mincho" w:hAnsiTheme="minorHAnsi" w:cstheme="minorHAnsi"/>
        </w:rPr>
        <w:t xml:space="preserve">is </w:t>
      </w:r>
      <w:r>
        <w:rPr>
          <w:rFonts w:asciiTheme="minorHAnsi" w:eastAsia="MS Mincho" w:hAnsiTheme="minorHAnsi" w:cstheme="minorHAnsi"/>
        </w:rPr>
        <w:t xml:space="preserve">an advocate for all graduate students, including GAs.  We want all graduate students to succeed and we want to help resolve any problems that arise.  The Graduate School encourages students to report violations of Graduate School and University policy, including excessive hours, harassment, unacceptable behavior, or unsafe conditions.  The Graduate Student Ombudsman </w:t>
      </w:r>
      <w:r w:rsidRPr="006767E0">
        <w:rPr>
          <w:rFonts w:asciiTheme="minorHAnsi" w:eastAsia="MS Mincho" w:hAnsiTheme="minorHAnsi" w:cstheme="minorHAnsi"/>
        </w:rPr>
        <w:t>provides confidential and informal assistance in resolving conflicts and promotes fair and equitable treatment</w:t>
      </w:r>
      <w:r w:rsidR="007E0D45">
        <w:rPr>
          <w:rFonts w:asciiTheme="minorHAnsi" w:eastAsia="MS Mincho" w:hAnsiTheme="minorHAnsi" w:cstheme="minorHAnsi"/>
        </w:rPr>
        <w:t>.  I</w:t>
      </w:r>
      <w:r>
        <w:rPr>
          <w:rFonts w:asciiTheme="minorHAnsi" w:eastAsia="MS Mincho" w:hAnsiTheme="minorHAnsi" w:cstheme="minorHAnsi"/>
        </w:rPr>
        <w:t>f necessary, the Graduate School can take formal action to investigate and resolve problematic situations</w:t>
      </w:r>
      <w:r w:rsidRPr="006767E0">
        <w:rPr>
          <w:rFonts w:asciiTheme="minorHAnsi" w:eastAsia="MS Mincho" w:hAnsiTheme="minorHAnsi" w:cstheme="minorHAnsi"/>
        </w:rPr>
        <w:t>.</w:t>
      </w:r>
      <w:r>
        <w:rPr>
          <w:rFonts w:asciiTheme="minorHAnsi" w:eastAsia="MS Mincho" w:hAnsiTheme="minorHAnsi" w:cstheme="minorHAnsi"/>
        </w:rPr>
        <w:t xml:space="preserve">  </w:t>
      </w:r>
      <w:r w:rsidRPr="00942DD7">
        <w:rPr>
          <w:rFonts w:asciiTheme="minorHAnsi" w:eastAsia="MS Mincho" w:hAnsiTheme="minorHAnsi" w:cstheme="minorHAnsi"/>
        </w:rPr>
        <w:t xml:space="preserve">Collective bargaining would </w:t>
      </w:r>
      <w:r>
        <w:rPr>
          <w:rFonts w:asciiTheme="minorHAnsi" w:eastAsia="MS Mincho" w:hAnsiTheme="minorHAnsi" w:cstheme="minorHAnsi"/>
        </w:rPr>
        <w:t xml:space="preserve">limit the </w:t>
      </w:r>
      <w:r w:rsidRPr="00942DD7">
        <w:rPr>
          <w:rFonts w:asciiTheme="minorHAnsi" w:eastAsia="MS Mincho" w:hAnsiTheme="minorHAnsi" w:cstheme="minorHAnsi"/>
        </w:rPr>
        <w:t xml:space="preserve">University’s </w:t>
      </w:r>
      <w:r>
        <w:rPr>
          <w:rFonts w:asciiTheme="minorHAnsi" w:eastAsia="MS Mincho" w:hAnsiTheme="minorHAnsi" w:cstheme="minorHAnsi"/>
        </w:rPr>
        <w:t>ability to address problems for all graduate students as they arise and reduce the current flexibility to tailor solutions to the situation of a particular student</w:t>
      </w:r>
      <w:r w:rsidRPr="00942DD7">
        <w:rPr>
          <w:rFonts w:asciiTheme="minorHAnsi" w:eastAsia="MS Mincho" w:hAnsiTheme="minorHAnsi" w:cstheme="minorHAnsi"/>
        </w:rPr>
        <w:t xml:space="preserve">.  </w:t>
      </w:r>
    </w:p>
    <w:p w14:paraId="47589113" w14:textId="43B7CFF9" w:rsidR="00000186" w:rsidRDefault="00000186" w:rsidP="00000186">
      <w:pPr>
        <w:rPr>
          <w:rFonts w:asciiTheme="minorHAnsi" w:eastAsia="MS Mincho" w:hAnsiTheme="minorHAnsi" w:cstheme="minorHAnsi"/>
          <w:b/>
          <w:bCs/>
        </w:rPr>
      </w:pPr>
    </w:p>
    <w:p w14:paraId="15749A8E" w14:textId="1AC4B0E1" w:rsidR="00000186" w:rsidRDefault="00172256" w:rsidP="00000186">
      <w:pPr>
        <w:rPr>
          <w:rFonts w:asciiTheme="minorHAnsi" w:eastAsia="MS Mincho" w:hAnsiTheme="minorHAnsi" w:cstheme="minorHAnsi"/>
        </w:rPr>
      </w:pPr>
      <w:r>
        <w:rPr>
          <w:rFonts w:asciiTheme="minorHAnsi" w:eastAsia="MS Mincho" w:hAnsiTheme="minorHAnsi" w:cstheme="minorHAnsi"/>
        </w:rPr>
        <w:t xml:space="preserve">Finally, collective bargaining </w:t>
      </w:r>
      <w:r w:rsidR="007E0D45">
        <w:rPr>
          <w:rFonts w:asciiTheme="minorHAnsi" w:eastAsia="MS Mincho" w:hAnsiTheme="minorHAnsi" w:cstheme="minorHAnsi"/>
        </w:rPr>
        <w:t xml:space="preserve">is </w:t>
      </w:r>
      <w:r>
        <w:rPr>
          <w:rFonts w:asciiTheme="minorHAnsi" w:eastAsia="MS Mincho" w:hAnsiTheme="minorHAnsi" w:cstheme="minorHAnsi"/>
        </w:rPr>
        <w:t xml:space="preserve">not in the best interests of graduate students and graduate programs.  </w:t>
      </w:r>
      <w:r w:rsidR="00000186">
        <w:rPr>
          <w:rFonts w:asciiTheme="minorHAnsi" w:eastAsia="MS Mincho" w:hAnsiTheme="minorHAnsi" w:cstheme="minorHAnsi"/>
        </w:rPr>
        <w:t>Advocates of c</w:t>
      </w:r>
      <w:r w:rsidR="00000186" w:rsidRPr="00000186">
        <w:rPr>
          <w:rFonts w:asciiTheme="minorHAnsi" w:eastAsia="MS Mincho" w:hAnsiTheme="minorHAnsi" w:cstheme="minorHAnsi"/>
        </w:rPr>
        <w:t xml:space="preserve">ollective bargaining </w:t>
      </w:r>
      <w:r w:rsidR="00000186">
        <w:rPr>
          <w:rFonts w:asciiTheme="minorHAnsi" w:eastAsia="MS Mincho" w:hAnsiTheme="minorHAnsi" w:cstheme="minorHAnsi"/>
        </w:rPr>
        <w:t xml:space="preserve">believe it will lead to higher stipends and additional benefits.  But </w:t>
      </w:r>
      <w:r>
        <w:rPr>
          <w:rFonts w:asciiTheme="minorHAnsi" w:eastAsia="MS Mincho" w:hAnsiTheme="minorHAnsi" w:cstheme="minorHAnsi"/>
        </w:rPr>
        <w:t>i</w:t>
      </w:r>
      <w:r w:rsidR="00000186">
        <w:rPr>
          <w:rFonts w:asciiTheme="minorHAnsi" w:eastAsia="MS Mincho" w:hAnsiTheme="minorHAnsi" w:cstheme="minorHAnsi"/>
        </w:rPr>
        <w:t>f stipends and benefits increase</w:t>
      </w:r>
      <w:r>
        <w:rPr>
          <w:rFonts w:asciiTheme="minorHAnsi" w:eastAsia="MS Mincho" w:hAnsiTheme="minorHAnsi" w:cstheme="minorHAnsi"/>
        </w:rPr>
        <w:t xml:space="preserve"> and </w:t>
      </w:r>
      <w:r w:rsidR="00000186">
        <w:rPr>
          <w:rFonts w:asciiTheme="minorHAnsi" w:eastAsia="MS Mincho" w:hAnsiTheme="minorHAnsi" w:cstheme="minorHAnsi"/>
        </w:rPr>
        <w:t>State funding does not increase proportionately, the number of graduate assistantships likely would be reduced</w:t>
      </w:r>
      <w:r>
        <w:rPr>
          <w:rFonts w:asciiTheme="minorHAnsi" w:eastAsia="MS Mincho" w:hAnsiTheme="minorHAnsi" w:cstheme="minorHAnsi"/>
        </w:rPr>
        <w:t xml:space="preserve">, </w:t>
      </w:r>
      <w:r w:rsidR="00000186">
        <w:rPr>
          <w:rFonts w:asciiTheme="minorHAnsi" w:eastAsia="MS Mincho" w:hAnsiTheme="minorHAnsi" w:cstheme="minorHAnsi"/>
        </w:rPr>
        <w:t>fewer students would be supported</w:t>
      </w:r>
      <w:r>
        <w:rPr>
          <w:rFonts w:asciiTheme="minorHAnsi" w:eastAsia="MS Mincho" w:hAnsiTheme="minorHAnsi" w:cstheme="minorHAnsi"/>
        </w:rPr>
        <w:t>, and the size of our doctoral programs will shrink</w:t>
      </w:r>
      <w:r w:rsidR="00000186">
        <w:rPr>
          <w:rFonts w:asciiTheme="minorHAnsi" w:eastAsia="MS Mincho" w:hAnsiTheme="minorHAnsi" w:cstheme="minorHAnsi"/>
        </w:rPr>
        <w:t xml:space="preserve">.  </w:t>
      </w:r>
    </w:p>
    <w:p w14:paraId="59AE2508" w14:textId="77777777" w:rsidR="00000186" w:rsidRDefault="00000186" w:rsidP="00000186">
      <w:pPr>
        <w:rPr>
          <w:rFonts w:asciiTheme="minorHAnsi" w:eastAsia="MS Mincho" w:hAnsiTheme="minorHAnsi" w:cstheme="minorHAnsi"/>
        </w:rPr>
      </w:pPr>
    </w:p>
    <w:p w14:paraId="2CE5E5EA" w14:textId="3AE2BEF3" w:rsidR="00000186" w:rsidRDefault="00000186" w:rsidP="00000186">
      <w:pPr>
        <w:rPr>
          <w:rFonts w:asciiTheme="minorHAnsi" w:eastAsia="MS Mincho" w:hAnsiTheme="minorHAnsi" w:cstheme="minorHAnsi"/>
        </w:rPr>
      </w:pPr>
      <w:r>
        <w:rPr>
          <w:rFonts w:asciiTheme="minorHAnsi" w:eastAsia="MS Mincho" w:hAnsiTheme="minorHAnsi" w:cstheme="minorHAnsi"/>
        </w:rPr>
        <w:t>Today, s</w:t>
      </w:r>
      <w:r w:rsidRPr="008A17FB">
        <w:rPr>
          <w:rFonts w:asciiTheme="minorHAnsi" w:eastAsia="MS Mincho" w:hAnsiTheme="minorHAnsi" w:cstheme="minorHAnsi"/>
        </w:rPr>
        <w:t xml:space="preserve">tipends </w:t>
      </w:r>
      <w:r>
        <w:rPr>
          <w:rFonts w:asciiTheme="minorHAnsi" w:eastAsia="MS Mincho" w:hAnsiTheme="minorHAnsi" w:cstheme="minorHAnsi"/>
        </w:rPr>
        <w:t xml:space="preserve">vary considerably </w:t>
      </w:r>
      <w:r w:rsidRPr="008A17FB">
        <w:rPr>
          <w:rFonts w:asciiTheme="minorHAnsi" w:eastAsia="MS Mincho" w:hAnsiTheme="minorHAnsi" w:cstheme="minorHAnsi"/>
        </w:rPr>
        <w:t xml:space="preserve">by discipline.  </w:t>
      </w:r>
      <w:r>
        <w:rPr>
          <w:rFonts w:asciiTheme="minorHAnsi" w:eastAsia="MS Mincho" w:hAnsiTheme="minorHAnsi" w:cstheme="minorHAnsi"/>
        </w:rPr>
        <w:t>S</w:t>
      </w:r>
      <w:r w:rsidRPr="008A17FB">
        <w:rPr>
          <w:rFonts w:asciiTheme="minorHAnsi" w:eastAsia="MS Mincho" w:hAnsiTheme="minorHAnsi" w:cstheme="minorHAnsi"/>
        </w:rPr>
        <w:t xml:space="preserve">ome departments offer more than $30,000 for the academic year </w:t>
      </w:r>
      <w:r>
        <w:rPr>
          <w:rFonts w:asciiTheme="minorHAnsi" w:eastAsia="MS Mincho" w:hAnsiTheme="minorHAnsi" w:cstheme="minorHAnsi"/>
        </w:rPr>
        <w:t xml:space="preserve">(20 hours/week for 9.5 months) </w:t>
      </w:r>
      <w:r w:rsidRPr="008A17FB">
        <w:rPr>
          <w:rFonts w:asciiTheme="minorHAnsi" w:eastAsia="MS Mincho" w:hAnsiTheme="minorHAnsi" w:cstheme="minorHAnsi"/>
        </w:rPr>
        <w:t>and $40,000 for the full year</w:t>
      </w:r>
      <w:r>
        <w:rPr>
          <w:rFonts w:asciiTheme="minorHAnsi" w:eastAsia="MS Mincho" w:hAnsiTheme="minorHAnsi" w:cstheme="minorHAnsi"/>
        </w:rPr>
        <w:t xml:space="preserve"> (20 hours/week for 12 months)</w:t>
      </w:r>
      <w:r w:rsidRPr="008A17FB">
        <w:rPr>
          <w:rFonts w:asciiTheme="minorHAnsi" w:eastAsia="MS Mincho" w:hAnsiTheme="minorHAnsi" w:cstheme="minorHAnsi"/>
        </w:rPr>
        <w:t xml:space="preserve">.  </w:t>
      </w:r>
      <w:r w:rsidR="00172256">
        <w:rPr>
          <w:rFonts w:asciiTheme="minorHAnsi" w:eastAsia="MS Mincho" w:hAnsiTheme="minorHAnsi" w:cstheme="minorHAnsi"/>
        </w:rPr>
        <w:t>C</w:t>
      </w:r>
      <w:r w:rsidRPr="008A17FB">
        <w:rPr>
          <w:rFonts w:asciiTheme="minorHAnsi" w:eastAsia="MS Mincho" w:hAnsiTheme="minorHAnsi" w:cstheme="minorHAnsi"/>
        </w:rPr>
        <w:t xml:space="preserve">ollective bargaining </w:t>
      </w:r>
      <w:r w:rsidR="00172256">
        <w:rPr>
          <w:rFonts w:asciiTheme="minorHAnsi" w:eastAsia="MS Mincho" w:hAnsiTheme="minorHAnsi" w:cstheme="minorHAnsi"/>
        </w:rPr>
        <w:t xml:space="preserve">could </w:t>
      </w:r>
      <w:r w:rsidRPr="008A17FB">
        <w:rPr>
          <w:rFonts w:asciiTheme="minorHAnsi" w:eastAsia="MS Mincho" w:hAnsiTheme="minorHAnsi" w:cstheme="minorHAnsi"/>
        </w:rPr>
        <w:t>result</w:t>
      </w:r>
      <w:r w:rsidR="00172256">
        <w:rPr>
          <w:rFonts w:asciiTheme="minorHAnsi" w:eastAsia="MS Mincho" w:hAnsiTheme="minorHAnsi" w:cstheme="minorHAnsi"/>
        </w:rPr>
        <w:t xml:space="preserve"> </w:t>
      </w:r>
      <w:r w:rsidRPr="008A17FB">
        <w:rPr>
          <w:rFonts w:asciiTheme="minorHAnsi" w:eastAsia="MS Mincho" w:hAnsiTheme="minorHAnsi" w:cstheme="minorHAnsi"/>
        </w:rPr>
        <w:t xml:space="preserve">in </w:t>
      </w:r>
      <w:r w:rsidR="00172256">
        <w:rPr>
          <w:rFonts w:asciiTheme="minorHAnsi" w:eastAsia="MS Mincho" w:hAnsiTheme="minorHAnsi" w:cstheme="minorHAnsi"/>
        </w:rPr>
        <w:t xml:space="preserve">more </w:t>
      </w:r>
      <w:r w:rsidRPr="008A17FB">
        <w:rPr>
          <w:rFonts w:asciiTheme="minorHAnsi" w:eastAsia="MS Mincho" w:hAnsiTheme="minorHAnsi" w:cstheme="minorHAnsi"/>
        </w:rPr>
        <w:t>uniform stipend levels</w:t>
      </w:r>
      <w:r>
        <w:rPr>
          <w:rFonts w:asciiTheme="minorHAnsi" w:eastAsia="MS Mincho" w:hAnsiTheme="minorHAnsi" w:cstheme="minorHAnsi"/>
        </w:rPr>
        <w:t xml:space="preserve"> across </w:t>
      </w:r>
      <w:r w:rsidR="00172256">
        <w:rPr>
          <w:rFonts w:asciiTheme="minorHAnsi" w:eastAsia="MS Mincho" w:hAnsiTheme="minorHAnsi" w:cstheme="minorHAnsi"/>
        </w:rPr>
        <w:t>campus, as it has at some peer institutions</w:t>
      </w:r>
      <w:r w:rsidRPr="008A17FB">
        <w:rPr>
          <w:rFonts w:asciiTheme="minorHAnsi" w:eastAsia="MS Mincho" w:hAnsiTheme="minorHAnsi" w:cstheme="minorHAnsi"/>
        </w:rPr>
        <w:t xml:space="preserve">.  Bringing all stipends to </w:t>
      </w:r>
      <w:r>
        <w:rPr>
          <w:rFonts w:asciiTheme="minorHAnsi" w:eastAsia="MS Mincho" w:hAnsiTheme="minorHAnsi" w:cstheme="minorHAnsi"/>
        </w:rPr>
        <w:t xml:space="preserve">a </w:t>
      </w:r>
      <w:r w:rsidRPr="008A17FB">
        <w:rPr>
          <w:rFonts w:asciiTheme="minorHAnsi" w:eastAsia="MS Mincho" w:hAnsiTheme="minorHAnsi" w:cstheme="minorHAnsi"/>
        </w:rPr>
        <w:t>high</w:t>
      </w:r>
      <w:r>
        <w:rPr>
          <w:rFonts w:asciiTheme="minorHAnsi" w:eastAsia="MS Mincho" w:hAnsiTheme="minorHAnsi" w:cstheme="minorHAnsi"/>
        </w:rPr>
        <w:t xml:space="preserve"> </w:t>
      </w:r>
      <w:r w:rsidRPr="008A17FB">
        <w:rPr>
          <w:rFonts w:asciiTheme="minorHAnsi" w:eastAsia="MS Mincho" w:hAnsiTheme="minorHAnsi" w:cstheme="minorHAnsi"/>
        </w:rPr>
        <w:t xml:space="preserve">level would </w:t>
      </w:r>
      <w:r>
        <w:rPr>
          <w:rFonts w:asciiTheme="minorHAnsi" w:eastAsia="MS Mincho" w:hAnsiTheme="minorHAnsi" w:cstheme="minorHAnsi"/>
        </w:rPr>
        <w:t xml:space="preserve">result in very large cost increases for some departments.  </w:t>
      </w:r>
      <w:r w:rsidRPr="008A17FB">
        <w:rPr>
          <w:rFonts w:asciiTheme="minorHAnsi" w:eastAsia="MS Mincho" w:hAnsiTheme="minorHAnsi" w:cstheme="minorHAnsi"/>
        </w:rPr>
        <w:t>Without</w:t>
      </w:r>
      <w:r>
        <w:rPr>
          <w:rFonts w:asciiTheme="minorHAnsi" w:eastAsia="MS Mincho" w:hAnsiTheme="minorHAnsi" w:cstheme="minorHAnsi"/>
        </w:rPr>
        <w:t xml:space="preserve"> substantial</w:t>
      </w:r>
      <w:r w:rsidRPr="008A17FB">
        <w:rPr>
          <w:rFonts w:asciiTheme="minorHAnsi" w:eastAsia="MS Mincho" w:hAnsiTheme="minorHAnsi" w:cstheme="minorHAnsi"/>
        </w:rPr>
        <w:t xml:space="preserve"> additional </w:t>
      </w:r>
      <w:r>
        <w:rPr>
          <w:rFonts w:asciiTheme="minorHAnsi" w:eastAsia="MS Mincho" w:hAnsiTheme="minorHAnsi" w:cstheme="minorHAnsi"/>
        </w:rPr>
        <w:t xml:space="preserve">State </w:t>
      </w:r>
      <w:r w:rsidRPr="008A17FB">
        <w:rPr>
          <w:rFonts w:asciiTheme="minorHAnsi" w:eastAsia="MS Mincho" w:hAnsiTheme="minorHAnsi" w:cstheme="minorHAnsi"/>
        </w:rPr>
        <w:t xml:space="preserve">funding, </w:t>
      </w:r>
      <w:r>
        <w:rPr>
          <w:rFonts w:asciiTheme="minorHAnsi" w:eastAsia="MS Mincho" w:hAnsiTheme="minorHAnsi" w:cstheme="minorHAnsi"/>
        </w:rPr>
        <w:t xml:space="preserve">those </w:t>
      </w:r>
      <w:r w:rsidRPr="008A17FB">
        <w:rPr>
          <w:rFonts w:asciiTheme="minorHAnsi" w:eastAsia="MS Mincho" w:hAnsiTheme="minorHAnsi" w:cstheme="minorHAnsi"/>
        </w:rPr>
        <w:t xml:space="preserve">departments would be </w:t>
      </w:r>
      <w:r>
        <w:rPr>
          <w:rFonts w:asciiTheme="minorHAnsi" w:eastAsia="MS Mincho" w:hAnsiTheme="minorHAnsi" w:cstheme="minorHAnsi"/>
        </w:rPr>
        <w:t xml:space="preserve">forced </w:t>
      </w:r>
      <w:r w:rsidRPr="008A17FB">
        <w:rPr>
          <w:rFonts w:asciiTheme="minorHAnsi" w:eastAsia="MS Mincho" w:hAnsiTheme="minorHAnsi" w:cstheme="minorHAnsi"/>
        </w:rPr>
        <w:t>to offer fewer assistantships</w:t>
      </w:r>
      <w:r>
        <w:rPr>
          <w:rFonts w:asciiTheme="minorHAnsi" w:eastAsia="MS Mincho" w:hAnsiTheme="minorHAnsi" w:cstheme="minorHAnsi"/>
        </w:rPr>
        <w:t xml:space="preserve">.  </w:t>
      </w:r>
      <w:r w:rsidR="00172256">
        <w:rPr>
          <w:rFonts w:asciiTheme="minorHAnsi" w:eastAsia="MS Mincho" w:hAnsiTheme="minorHAnsi" w:cstheme="minorHAnsi"/>
        </w:rPr>
        <w:t xml:space="preserve">But capping stipends </w:t>
      </w:r>
      <w:r w:rsidRPr="008A17FB">
        <w:rPr>
          <w:rFonts w:asciiTheme="minorHAnsi" w:eastAsia="MS Mincho" w:hAnsiTheme="minorHAnsi" w:cstheme="minorHAnsi"/>
        </w:rPr>
        <w:t xml:space="preserve">to limit disparities </w:t>
      </w:r>
      <w:r>
        <w:rPr>
          <w:rFonts w:asciiTheme="minorHAnsi" w:eastAsia="MS Mincho" w:hAnsiTheme="minorHAnsi" w:cstheme="minorHAnsi"/>
        </w:rPr>
        <w:t xml:space="preserve">across campus </w:t>
      </w:r>
      <w:r w:rsidRPr="008A17FB">
        <w:rPr>
          <w:rFonts w:asciiTheme="minorHAnsi" w:eastAsia="MS Mincho" w:hAnsiTheme="minorHAnsi" w:cstheme="minorHAnsi"/>
        </w:rPr>
        <w:t xml:space="preserve">would undermine the ability of </w:t>
      </w:r>
      <w:r>
        <w:rPr>
          <w:rFonts w:asciiTheme="minorHAnsi" w:eastAsia="MS Mincho" w:hAnsiTheme="minorHAnsi" w:cstheme="minorHAnsi"/>
        </w:rPr>
        <w:t xml:space="preserve">some </w:t>
      </w:r>
      <w:r w:rsidRPr="008A17FB">
        <w:rPr>
          <w:rFonts w:asciiTheme="minorHAnsi" w:eastAsia="MS Mincho" w:hAnsiTheme="minorHAnsi" w:cstheme="minorHAnsi"/>
        </w:rPr>
        <w:t xml:space="preserve">departments </w:t>
      </w:r>
      <w:r>
        <w:rPr>
          <w:rFonts w:asciiTheme="minorHAnsi" w:eastAsia="MS Mincho" w:hAnsiTheme="minorHAnsi" w:cstheme="minorHAnsi"/>
        </w:rPr>
        <w:t xml:space="preserve">to </w:t>
      </w:r>
      <w:r w:rsidRPr="008A17FB">
        <w:rPr>
          <w:rFonts w:asciiTheme="minorHAnsi" w:eastAsia="MS Mincho" w:hAnsiTheme="minorHAnsi" w:cstheme="minorHAnsi"/>
        </w:rPr>
        <w:t>pay high</w:t>
      </w:r>
      <w:r>
        <w:rPr>
          <w:rFonts w:asciiTheme="minorHAnsi" w:eastAsia="MS Mincho" w:hAnsiTheme="minorHAnsi" w:cstheme="minorHAnsi"/>
        </w:rPr>
        <w:t>er</w:t>
      </w:r>
      <w:r w:rsidRPr="008A17FB">
        <w:rPr>
          <w:rFonts w:asciiTheme="minorHAnsi" w:eastAsia="MS Mincho" w:hAnsiTheme="minorHAnsi" w:cstheme="minorHAnsi"/>
        </w:rPr>
        <w:t xml:space="preserve"> stipends to recruit and retain </w:t>
      </w:r>
      <w:r>
        <w:rPr>
          <w:rFonts w:asciiTheme="minorHAnsi" w:eastAsia="MS Mincho" w:hAnsiTheme="minorHAnsi" w:cstheme="minorHAnsi"/>
        </w:rPr>
        <w:t>high</w:t>
      </w:r>
      <w:r w:rsidR="00172256">
        <w:rPr>
          <w:rFonts w:asciiTheme="minorHAnsi" w:eastAsia="MS Mincho" w:hAnsiTheme="minorHAnsi" w:cstheme="minorHAnsi"/>
        </w:rPr>
        <w:t>-</w:t>
      </w:r>
      <w:r>
        <w:rPr>
          <w:rFonts w:asciiTheme="minorHAnsi" w:eastAsia="MS Mincho" w:hAnsiTheme="minorHAnsi" w:cstheme="minorHAnsi"/>
        </w:rPr>
        <w:t xml:space="preserve">caliber </w:t>
      </w:r>
      <w:r w:rsidRPr="008A17FB">
        <w:rPr>
          <w:rFonts w:asciiTheme="minorHAnsi" w:eastAsia="MS Mincho" w:hAnsiTheme="minorHAnsi" w:cstheme="minorHAnsi"/>
        </w:rPr>
        <w:t>students</w:t>
      </w:r>
      <w:r>
        <w:rPr>
          <w:rFonts w:asciiTheme="minorHAnsi" w:eastAsia="MS Mincho" w:hAnsiTheme="minorHAnsi" w:cstheme="minorHAnsi"/>
        </w:rPr>
        <w:t xml:space="preserve"> in competitive fields</w:t>
      </w:r>
      <w:r w:rsidRPr="008A17FB">
        <w:rPr>
          <w:rFonts w:asciiTheme="minorHAnsi" w:eastAsia="MS Mincho" w:hAnsiTheme="minorHAnsi" w:cstheme="minorHAnsi"/>
        </w:rPr>
        <w:t>.  Either would lead to a decline in the quality and quantity of research and scholarship produced by the University.</w:t>
      </w:r>
      <w:r>
        <w:rPr>
          <w:rFonts w:asciiTheme="minorHAnsi" w:eastAsia="MS Mincho" w:hAnsiTheme="minorHAnsi" w:cstheme="minorHAnsi"/>
        </w:rPr>
        <w:t xml:space="preserve">  </w:t>
      </w:r>
    </w:p>
    <w:p w14:paraId="54C3064B" w14:textId="58D54383" w:rsidR="00000186" w:rsidRDefault="00000186" w:rsidP="00000186">
      <w:pPr>
        <w:rPr>
          <w:rFonts w:asciiTheme="minorHAnsi" w:eastAsia="MS Mincho" w:hAnsiTheme="minorHAnsi" w:cstheme="minorHAnsi"/>
        </w:rPr>
      </w:pPr>
    </w:p>
    <w:p w14:paraId="4869875C" w14:textId="290A6137" w:rsidR="00000186" w:rsidRPr="000653B0" w:rsidRDefault="00000186" w:rsidP="00A02B68">
      <w:pPr>
        <w:rPr>
          <w:rFonts w:asciiTheme="minorHAnsi" w:eastAsia="MS Mincho" w:hAnsiTheme="minorHAnsi" w:cstheme="minorHAnsi"/>
        </w:rPr>
      </w:pPr>
      <w:r>
        <w:rPr>
          <w:rFonts w:asciiTheme="minorHAnsi" w:eastAsia="MS Mincho" w:hAnsiTheme="minorHAnsi" w:cstheme="minorHAnsi"/>
        </w:rPr>
        <w:t xml:space="preserve">With regard to benefits, GAs already have access to the same health </w:t>
      </w:r>
      <w:r w:rsidR="00172256">
        <w:rPr>
          <w:rFonts w:asciiTheme="minorHAnsi" w:eastAsia="MS Mincho" w:hAnsiTheme="minorHAnsi" w:cstheme="minorHAnsi"/>
        </w:rPr>
        <w:t xml:space="preserve">plans </w:t>
      </w:r>
      <w:r>
        <w:rPr>
          <w:rFonts w:asciiTheme="minorHAnsi" w:eastAsia="MS Mincho" w:hAnsiTheme="minorHAnsi" w:cstheme="minorHAnsi"/>
        </w:rPr>
        <w:t xml:space="preserve">as faculty and staff.  Some students advocate for collective bargaining as a means to gain additional benefits, </w:t>
      </w:r>
      <w:r w:rsidR="00A02B68">
        <w:rPr>
          <w:rFonts w:asciiTheme="minorHAnsi" w:eastAsia="MS Mincho" w:hAnsiTheme="minorHAnsi" w:cstheme="minorHAnsi"/>
        </w:rPr>
        <w:t>b</w:t>
      </w:r>
      <w:r>
        <w:rPr>
          <w:rFonts w:asciiTheme="minorHAnsi" w:eastAsia="MS Mincho" w:hAnsiTheme="minorHAnsi" w:cstheme="minorHAnsi"/>
        </w:rPr>
        <w:t>ut these could lead to additional taxes.</w:t>
      </w:r>
      <w:r w:rsidR="00A02B68">
        <w:rPr>
          <w:rFonts w:asciiTheme="minorHAnsi" w:eastAsia="MS Mincho" w:hAnsiTheme="minorHAnsi" w:cstheme="minorHAnsi"/>
        </w:rPr>
        <w:t xml:space="preserve">  </w:t>
      </w:r>
      <w:r>
        <w:rPr>
          <w:rFonts w:asciiTheme="minorHAnsi" w:eastAsia="MS Mincho" w:hAnsiTheme="minorHAnsi" w:cstheme="minorHAnsi"/>
        </w:rPr>
        <w:t xml:space="preserve">GAs currently </w:t>
      </w:r>
      <w:proofErr w:type="gramStart"/>
      <w:r>
        <w:rPr>
          <w:rFonts w:asciiTheme="minorHAnsi" w:eastAsia="MS Mincho" w:hAnsiTheme="minorHAnsi" w:cstheme="minorHAnsi"/>
        </w:rPr>
        <w:t>are</w:t>
      </w:r>
      <w:proofErr w:type="gramEnd"/>
      <w:r>
        <w:rPr>
          <w:rFonts w:asciiTheme="minorHAnsi" w:eastAsia="MS Mincho" w:hAnsiTheme="minorHAnsi" w:cstheme="minorHAnsi"/>
        </w:rPr>
        <w:t xml:space="preserve"> exempt from </w:t>
      </w:r>
      <w:r w:rsidRPr="00612CDD">
        <w:rPr>
          <w:rFonts w:asciiTheme="minorHAnsi" w:eastAsia="MS Mincho" w:hAnsiTheme="minorHAnsi" w:cstheme="minorHAnsi"/>
        </w:rPr>
        <w:t>FICA (</w:t>
      </w:r>
      <w:r>
        <w:rPr>
          <w:rFonts w:asciiTheme="minorHAnsi" w:eastAsia="MS Mincho" w:hAnsiTheme="minorHAnsi" w:cstheme="minorHAnsi"/>
        </w:rPr>
        <w:t xml:space="preserve">Social Security and </w:t>
      </w:r>
      <w:r w:rsidRPr="00612CDD">
        <w:rPr>
          <w:rFonts w:asciiTheme="minorHAnsi" w:eastAsia="MS Mincho" w:hAnsiTheme="minorHAnsi" w:cstheme="minorHAnsi"/>
        </w:rPr>
        <w:t>Medicare</w:t>
      </w:r>
      <w:r>
        <w:rPr>
          <w:rFonts w:asciiTheme="minorHAnsi" w:eastAsia="MS Mincho" w:hAnsiTheme="minorHAnsi" w:cstheme="minorHAnsi"/>
        </w:rPr>
        <w:t xml:space="preserve">) tax because they do not meet the IRS definition of “professional employees.” Providing additional benefits could change this determination and make GAs subject to FICA, in which case the University would have to </w:t>
      </w:r>
      <w:r w:rsidRPr="00612CDD">
        <w:rPr>
          <w:rFonts w:asciiTheme="minorHAnsi" w:eastAsia="MS Mincho" w:hAnsiTheme="minorHAnsi" w:cstheme="minorHAnsi"/>
        </w:rPr>
        <w:t>withhold</w:t>
      </w:r>
      <w:r>
        <w:rPr>
          <w:rFonts w:asciiTheme="minorHAnsi" w:eastAsia="MS Mincho" w:hAnsiTheme="minorHAnsi" w:cstheme="minorHAnsi"/>
        </w:rPr>
        <w:t xml:space="preserve"> </w:t>
      </w:r>
      <w:r w:rsidRPr="00612CDD">
        <w:rPr>
          <w:rFonts w:asciiTheme="minorHAnsi" w:eastAsia="MS Mincho" w:hAnsiTheme="minorHAnsi" w:cstheme="minorHAnsi"/>
        </w:rPr>
        <w:t>7.65% from a</w:t>
      </w:r>
      <w:r>
        <w:rPr>
          <w:rFonts w:asciiTheme="minorHAnsi" w:eastAsia="MS Mincho" w:hAnsiTheme="minorHAnsi" w:cstheme="minorHAnsi"/>
        </w:rPr>
        <w:t xml:space="preserve"> GA’s </w:t>
      </w:r>
      <w:r w:rsidRPr="00612CDD">
        <w:rPr>
          <w:rFonts w:asciiTheme="minorHAnsi" w:eastAsia="MS Mincho" w:hAnsiTheme="minorHAnsi" w:cstheme="minorHAnsi"/>
        </w:rPr>
        <w:t>taxable compensation and pay an equal employer's share.</w:t>
      </w:r>
      <w:r>
        <w:rPr>
          <w:rFonts w:asciiTheme="minorHAnsi" w:eastAsia="MS Mincho" w:hAnsiTheme="minorHAnsi" w:cstheme="minorHAnsi"/>
        </w:rPr>
        <w:t xml:space="preserve">  GAs might also have to pay for unemployment insurance, and GAs would have to pay dues set by the union (2% of compensation is standard).  In all, the cost of a GA to a department could increase by more than 17% without any increase in take-home </w:t>
      </w:r>
      <w:r>
        <w:rPr>
          <w:rFonts w:asciiTheme="minorHAnsi" w:eastAsia="MS Mincho" w:hAnsiTheme="minorHAnsi" w:cstheme="minorHAnsi"/>
        </w:rPr>
        <w:lastRenderedPageBreak/>
        <w:t>compensation for the student.  Students whose duties are not related to teaching or research could be excluded from GA appointments, or their tuition benefit could be subject to income tax.</w:t>
      </w:r>
    </w:p>
    <w:p w14:paraId="137AB7B4" w14:textId="77777777" w:rsidR="00000186" w:rsidRDefault="00000186" w:rsidP="00000186">
      <w:pPr>
        <w:widowControl w:val="0"/>
        <w:rPr>
          <w:rFonts w:asciiTheme="minorHAnsi" w:eastAsia="MS Mincho" w:hAnsiTheme="minorHAnsi" w:cstheme="minorHAnsi"/>
        </w:rPr>
      </w:pPr>
    </w:p>
    <w:p w14:paraId="643A8E37" w14:textId="2887D0F5" w:rsidR="00000186" w:rsidRDefault="00172256" w:rsidP="00000186">
      <w:pPr>
        <w:widowControl w:val="0"/>
        <w:rPr>
          <w:rFonts w:asciiTheme="minorHAnsi" w:eastAsia="MS Mincho" w:hAnsiTheme="minorHAnsi" w:cstheme="minorHAnsi"/>
        </w:rPr>
      </w:pPr>
      <w:r>
        <w:rPr>
          <w:rFonts w:asciiTheme="minorHAnsi" w:eastAsia="MS Mincho" w:hAnsiTheme="minorHAnsi" w:cstheme="minorHAnsi"/>
        </w:rPr>
        <w:t>R</w:t>
      </w:r>
      <w:r w:rsidR="00000186" w:rsidRPr="00942DD7">
        <w:rPr>
          <w:rFonts w:asciiTheme="minorHAnsi" w:eastAsia="MS Mincho" w:hAnsiTheme="minorHAnsi" w:cstheme="minorHAnsi"/>
        </w:rPr>
        <w:t>esearch assistantships</w:t>
      </w:r>
      <w:r w:rsidR="00000186">
        <w:rPr>
          <w:rFonts w:asciiTheme="minorHAnsi" w:eastAsia="MS Mincho" w:hAnsiTheme="minorHAnsi" w:cstheme="minorHAnsi"/>
        </w:rPr>
        <w:t xml:space="preserve">, which are included in HB 214, </w:t>
      </w:r>
      <w:r w:rsidR="00000186" w:rsidRPr="00942DD7">
        <w:rPr>
          <w:rFonts w:asciiTheme="minorHAnsi" w:eastAsia="MS Mincho" w:hAnsiTheme="minorHAnsi" w:cstheme="minorHAnsi"/>
        </w:rPr>
        <w:t xml:space="preserve">are </w:t>
      </w:r>
      <w:r w:rsidR="00000186">
        <w:rPr>
          <w:rFonts w:asciiTheme="minorHAnsi" w:eastAsia="MS Mincho" w:hAnsiTheme="minorHAnsi" w:cstheme="minorHAnsi"/>
        </w:rPr>
        <w:t xml:space="preserve">particularly difficult to adapt </w:t>
      </w:r>
      <w:r w:rsidR="00000186" w:rsidRPr="00942DD7">
        <w:rPr>
          <w:rFonts w:asciiTheme="minorHAnsi" w:eastAsia="MS Mincho" w:hAnsiTheme="minorHAnsi" w:cstheme="minorHAnsi"/>
        </w:rPr>
        <w:t xml:space="preserve">to collective bargaining.  There </w:t>
      </w:r>
      <w:r w:rsidR="00000186">
        <w:rPr>
          <w:rFonts w:asciiTheme="minorHAnsi" w:eastAsia="MS Mincho" w:hAnsiTheme="minorHAnsi" w:cstheme="minorHAnsi"/>
        </w:rPr>
        <w:t xml:space="preserve">often </w:t>
      </w:r>
      <w:r w:rsidR="00000186" w:rsidRPr="00942DD7">
        <w:rPr>
          <w:rFonts w:asciiTheme="minorHAnsi" w:eastAsia="MS Mincho" w:hAnsiTheme="minorHAnsi" w:cstheme="minorHAnsi"/>
        </w:rPr>
        <w:t xml:space="preserve">is a large overlap between the research a student does for a faculty member as part of </w:t>
      </w:r>
      <w:r w:rsidR="00000186">
        <w:rPr>
          <w:rFonts w:asciiTheme="minorHAnsi" w:eastAsia="MS Mincho" w:hAnsiTheme="minorHAnsi" w:cstheme="minorHAnsi"/>
        </w:rPr>
        <w:t xml:space="preserve">the faculty member’s </w:t>
      </w:r>
      <w:r w:rsidR="00000186" w:rsidRPr="00942DD7">
        <w:rPr>
          <w:rFonts w:asciiTheme="minorHAnsi" w:eastAsia="MS Mincho" w:hAnsiTheme="minorHAnsi" w:cstheme="minorHAnsi"/>
        </w:rPr>
        <w:t xml:space="preserve">research grant or contract, and the research the student does for his or her dissertation.  </w:t>
      </w:r>
      <w:r w:rsidR="00000186">
        <w:rPr>
          <w:rFonts w:asciiTheme="minorHAnsi" w:eastAsia="MS Mincho" w:hAnsiTheme="minorHAnsi" w:cstheme="minorHAnsi"/>
        </w:rPr>
        <w:t>The former is essential training for the latter, and i</w:t>
      </w:r>
      <w:r w:rsidR="00000186" w:rsidRPr="00942DD7">
        <w:rPr>
          <w:rFonts w:asciiTheme="minorHAnsi" w:eastAsia="MS Mincho" w:hAnsiTheme="minorHAnsi" w:cstheme="minorHAnsi"/>
        </w:rPr>
        <w:t xml:space="preserve">t is </w:t>
      </w:r>
      <w:r w:rsidR="00000186">
        <w:rPr>
          <w:rFonts w:asciiTheme="minorHAnsi" w:eastAsia="MS Mincho" w:hAnsiTheme="minorHAnsi" w:cstheme="minorHAnsi"/>
        </w:rPr>
        <w:t xml:space="preserve">often </w:t>
      </w:r>
      <w:r w:rsidR="00000186" w:rsidRPr="00942DD7">
        <w:rPr>
          <w:rFonts w:asciiTheme="minorHAnsi" w:eastAsia="MS Mincho" w:hAnsiTheme="minorHAnsi" w:cstheme="minorHAnsi"/>
        </w:rPr>
        <w:t>impossible to determine where one ends and the other begins.  Completing a dissertation—a piece of original research and scholarship—requires long hours</w:t>
      </w:r>
      <w:r w:rsidR="00000186">
        <w:rPr>
          <w:rFonts w:asciiTheme="minorHAnsi" w:eastAsia="MS Mincho" w:hAnsiTheme="minorHAnsi" w:cstheme="minorHAnsi"/>
        </w:rPr>
        <w:t xml:space="preserve"> of effort </w:t>
      </w:r>
      <w:r w:rsidR="00000186" w:rsidRPr="00942DD7">
        <w:rPr>
          <w:rFonts w:asciiTheme="minorHAnsi" w:eastAsia="MS Mincho" w:hAnsiTheme="minorHAnsi" w:cstheme="minorHAnsi"/>
        </w:rPr>
        <w:t>regardless of whether the student has a</w:t>
      </w:r>
      <w:r w:rsidR="00000186">
        <w:rPr>
          <w:rFonts w:asciiTheme="minorHAnsi" w:eastAsia="MS Mincho" w:hAnsiTheme="minorHAnsi" w:cstheme="minorHAnsi"/>
        </w:rPr>
        <w:t xml:space="preserve"> research </w:t>
      </w:r>
      <w:r w:rsidR="00000186" w:rsidRPr="00942DD7">
        <w:rPr>
          <w:rFonts w:asciiTheme="minorHAnsi" w:eastAsia="MS Mincho" w:hAnsiTheme="minorHAnsi" w:cstheme="minorHAnsi"/>
        </w:rPr>
        <w:t>assistantship</w:t>
      </w:r>
      <w:r w:rsidR="00000186">
        <w:rPr>
          <w:rFonts w:asciiTheme="minorHAnsi" w:eastAsia="MS Mincho" w:hAnsiTheme="minorHAnsi" w:cstheme="minorHAnsi"/>
        </w:rPr>
        <w:t>, and the amount of effort required for the dissertation cannot be affected by collective bargaining</w:t>
      </w:r>
      <w:r w:rsidR="00000186" w:rsidRPr="00942DD7">
        <w:rPr>
          <w:rFonts w:asciiTheme="minorHAnsi" w:eastAsia="MS Mincho" w:hAnsiTheme="minorHAnsi" w:cstheme="minorHAnsi"/>
        </w:rPr>
        <w:t xml:space="preserve">. </w:t>
      </w:r>
      <w:r w:rsidR="00000186">
        <w:rPr>
          <w:rFonts w:asciiTheme="minorHAnsi" w:eastAsia="MS Mincho" w:hAnsiTheme="minorHAnsi" w:cstheme="minorHAnsi"/>
        </w:rPr>
        <w:t xml:space="preserve"> For this reason, most institutions that have collective bargaining for teaching assistants do not extend collective bargaining to research assistants.  Of the five Big Ten institutions with collective bargaining for GAs, only Rutgers includes research assistants, and the contract specifies that it has no impact on the work needed to satisfy degree requirements.</w:t>
      </w:r>
    </w:p>
    <w:p w14:paraId="7539BE7D" w14:textId="77777777" w:rsidR="00000186" w:rsidRDefault="00000186" w:rsidP="00000186">
      <w:pPr>
        <w:widowControl w:val="0"/>
        <w:rPr>
          <w:rFonts w:asciiTheme="minorHAnsi" w:eastAsia="MS Mincho" w:hAnsiTheme="minorHAnsi" w:cstheme="minorHAnsi"/>
        </w:rPr>
      </w:pPr>
    </w:p>
    <w:p w14:paraId="434DB5EC" w14:textId="48F7EAF2" w:rsidR="00000186" w:rsidRPr="00942DD7" w:rsidRDefault="00000186" w:rsidP="00000186">
      <w:pPr>
        <w:rPr>
          <w:rFonts w:asciiTheme="minorHAnsi" w:eastAsia="MS Mincho" w:hAnsiTheme="minorHAnsi" w:cstheme="minorHAnsi"/>
        </w:rPr>
      </w:pPr>
      <w:r w:rsidRPr="00942DD7">
        <w:rPr>
          <w:rFonts w:asciiTheme="minorHAnsi" w:eastAsia="MS Mincho" w:hAnsiTheme="minorHAnsi" w:cstheme="minorHAnsi"/>
        </w:rPr>
        <w:t xml:space="preserve">Thank you for </w:t>
      </w:r>
      <w:r>
        <w:rPr>
          <w:rFonts w:asciiTheme="minorHAnsi" w:eastAsia="MS Mincho" w:hAnsiTheme="minorHAnsi" w:cstheme="minorHAnsi"/>
        </w:rPr>
        <w:t>the opportunity to express my concerns about House Bill 2</w:t>
      </w:r>
      <w:r w:rsidR="00172256">
        <w:rPr>
          <w:rFonts w:asciiTheme="minorHAnsi" w:eastAsia="MS Mincho" w:hAnsiTheme="minorHAnsi" w:cstheme="minorHAnsi"/>
        </w:rPr>
        <w:t>14</w:t>
      </w:r>
      <w:r w:rsidRPr="00942DD7">
        <w:rPr>
          <w:rFonts w:asciiTheme="minorHAnsi" w:eastAsia="MS Mincho" w:hAnsiTheme="minorHAnsi" w:cstheme="minorHAnsi"/>
        </w:rPr>
        <w:t>.</w:t>
      </w:r>
    </w:p>
    <w:p w14:paraId="174909F6" w14:textId="77777777" w:rsidR="00000186" w:rsidRDefault="00000186" w:rsidP="00000186">
      <w:pPr>
        <w:rPr>
          <w:rFonts w:asciiTheme="minorHAnsi" w:eastAsia="MS Mincho" w:hAnsiTheme="minorHAnsi" w:cstheme="minorHAnsi"/>
        </w:rPr>
      </w:pPr>
    </w:p>
    <w:p w14:paraId="680FD312" w14:textId="77777777" w:rsidR="00000186" w:rsidRDefault="00000186" w:rsidP="00000186">
      <w:pPr>
        <w:rPr>
          <w:rFonts w:asciiTheme="minorHAnsi" w:eastAsia="MS Mincho" w:hAnsiTheme="minorHAnsi" w:cstheme="minorHAnsi"/>
        </w:rPr>
      </w:pPr>
      <w:r>
        <w:rPr>
          <w:rFonts w:asciiTheme="minorHAnsi" w:eastAsia="MS Mincho" w:hAnsiTheme="minorHAnsi" w:cstheme="minorHAnsi"/>
        </w:rPr>
        <w:t>Steve Fetter</w:t>
      </w:r>
    </w:p>
    <w:p w14:paraId="422135ED" w14:textId="77777777" w:rsidR="00000186" w:rsidRDefault="00000186" w:rsidP="00000186">
      <w:pPr>
        <w:rPr>
          <w:rFonts w:asciiTheme="minorHAnsi" w:eastAsia="MS Mincho" w:hAnsiTheme="minorHAnsi" w:cstheme="minorHAnsi"/>
        </w:rPr>
      </w:pPr>
      <w:r>
        <w:rPr>
          <w:rFonts w:asciiTheme="minorHAnsi" w:eastAsia="MS Mincho" w:hAnsiTheme="minorHAnsi" w:cstheme="minorHAnsi"/>
        </w:rPr>
        <w:t>Associate Provost and Dean, The Graduate School</w:t>
      </w:r>
    </w:p>
    <w:p w14:paraId="747F7474" w14:textId="0F1E9D84" w:rsidR="00000186" w:rsidRDefault="00000186" w:rsidP="00000186">
      <w:pPr>
        <w:widowControl w:val="0"/>
        <w:rPr>
          <w:rFonts w:asciiTheme="minorHAnsi" w:eastAsia="MS Mincho" w:hAnsiTheme="minorHAnsi" w:cstheme="minorHAnsi"/>
        </w:rPr>
      </w:pPr>
      <w:r>
        <w:rPr>
          <w:rFonts w:asciiTheme="minorHAnsi" w:eastAsia="MS Mincho" w:hAnsiTheme="minorHAnsi" w:cstheme="minorHAnsi"/>
        </w:rPr>
        <w:t xml:space="preserve">University of Maryland, College Park </w:t>
      </w:r>
    </w:p>
    <w:p w14:paraId="4F6DAEA9" w14:textId="0592368D" w:rsidR="00000186" w:rsidRDefault="00000186" w:rsidP="00000186">
      <w:pPr>
        <w:rPr>
          <w:rFonts w:asciiTheme="minorHAnsi" w:hAnsiTheme="minorHAnsi" w:cstheme="minorHAnsi"/>
        </w:rPr>
      </w:pPr>
    </w:p>
    <w:p w14:paraId="18BC2162" w14:textId="77777777" w:rsidR="00000186" w:rsidRDefault="0000018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767"/>
        <w:gridCol w:w="1710"/>
        <w:gridCol w:w="1438"/>
        <w:gridCol w:w="1438"/>
        <w:gridCol w:w="1439"/>
      </w:tblGrid>
      <w:tr w:rsidR="00000186" w14:paraId="09113B9C" w14:textId="77777777" w:rsidTr="00000186">
        <w:tc>
          <w:tcPr>
            <w:tcW w:w="9350" w:type="dxa"/>
            <w:gridSpan w:val="6"/>
            <w:tcBorders>
              <w:bottom w:val="single" w:sz="4" w:space="0" w:color="auto"/>
            </w:tcBorders>
          </w:tcPr>
          <w:p w14:paraId="3DD26EFF" w14:textId="55437A6A" w:rsidR="00000186" w:rsidRPr="0089474A" w:rsidRDefault="00000186" w:rsidP="00000186">
            <w:pPr>
              <w:jc w:val="center"/>
              <w:rPr>
                <w:rFonts w:cstheme="minorHAnsi"/>
                <w:b/>
              </w:rPr>
            </w:pPr>
            <w:r w:rsidRPr="0089474A">
              <w:rPr>
                <w:rFonts w:cstheme="minorHAnsi"/>
                <w:b/>
              </w:rPr>
              <w:lastRenderedPageBreak/>
              <w:t>Minimum Graduate Assistant Stipends</w:t>
            </w:r>
            <w:r>
              <w:rPr>
                <w:rFonts w:cstheme="minorHAnsi"/>
                <w:b/>
              </w:rPr>
              <w:t xml:space="preserve"> and Collective Bargaining Status</w:t>
            </w:r>
          </w:p>
          <w:p w14:paraId="4CF9122A" w14:textId="77777777" w:rsidR="00000186" w:rsidRPr="0089474A" w:rsidRDefault="00000186" w:rsidP="00000186">
            <w:pPr>
              <w:jc w:val="center"/>
              <w:rPr>
                <w:rFonts w:cstheme="minorHAnsi"/>
              </w:rPr>
            </w:pPr>
            <w:r w:rsidRPr="0089474A">
              <w:rPr>
                <w:rFonts w:cstheme="minorHAnsi"/>
              </w:rPr>
              <w:t>Big Ten Public Universities, Spring 20</w:t>
            </w:r>
            <w:r>
              <w:rPr>
                <w:rFonts w:cstheme="minorHAnsi"/>
              </w:rPr>
              <w:t xml:space="preserve">20, </w:t>
            </w:r>
            <w:r w:rsidRPr="0089474A">
              <w:rPr>
                <w:rFonts w:cstheme="minorHAnsi"/>
              </w:rPr>
              <w:t>20 h</w:t>
            </w:r>
            <w:r>
              <w:rPr>
                <w:rFonts w:cstheme="minorHAnsi"/>
              </w:rPr>
              <w:t>ou</w:t>
            </w:r>
            <w:r w:rsidRPr="0089474A">
              <w:rPr>
                <w:rFonts w:cstheme="minorHAnsi"/>
              </w:rPr>
              <w:t>r/week appointment</w:t>
            </w:r>
          </w:p>
          <w:p w14:paraId="0A3AB3D2" w14:textId="77777777" w:rsidR="00000186" w:rsidRDefault="00000186" w:rsidP="00000186">
            <w:pPr>
              <w:jc w:val="center"/>
              <w:rPr>
                <w:rFonts w:cstheme="minorHAnsi"/>
              </w:rPr>
            </w:pPr>
          </w:p>
        </w:tc>
      </w:tr>
      <w:tr w:rsidR="00000186" w14:paraId="1B71C221" w14:textId="77777777" w:rsidTr="00000186">
        <w:tc>
          <w:tcPr>
            <w:tcW w:w="1558" w:type="dxa"/>
            <w:tcBorders>
              <w:top w:val="single" w:sz="4" w:space="0" w:color="auto"/>
              <w:bottom w:val="single" w:sz="4" w:space="0" w:color="auto"/>
            </w:tcBorders>
          </w:tcPr>
          <w:p w14:paraId="75288B9D" w14:textId="77777777" w:rsidR="00000186" w:rsidRDefault="00000186" w:rsidP="00000186">
            <w:pPr>
              <w:rPr>
                <w:rFonts w:cstheme="minorHAnsi"/>
              </w:rPr>
            </w:pPr>
          </w:p>
        </w:tc>
        <w:tc>
          <w:tcPr>
            <w:tcW w:w="3477" w:type="dxa"/>
            <w:gridSpan w:val="2"/>
            <w:tcBorders>
              <w:top w:val="single" w:sz="4" w:space="0" w:color="auto"/>
              <w:bottom w:val="single" w:sz="4" w:space="0" w:color="auto"/>
            </w:tcBorders>
          </w:tcPr>
          <w:p w14:paraId="2F80EBDD" w14:textId="77777777" w:rsidR="00000186" w:rsidRPr="00E3629D" w:rsidRDefault="00000186" w:rsidP="00000186">
            <w:pPr>
              <w:jc w:val="center"/>
              <w:rPr>
                <w:rFonts w:cstheme="minorHAnsi"/>
                <w:b/>
              </w:rPr>
            </w:pPr>
            <w:r w:rsidRPr="00E3629D">
              <w:rPr>
                <w:rFonts w:cstheme="minorHAnsi"/>
                <w:b/>
              </w:rPr>
              <w:t>Minimum Stipend</w:t>
            </w:r>
          </w:p>
        </w:tc>
        <w:tc>
          <w:tcPr>
            <w:tcW w:w="4315" w:type="dxa"/>
            <w:gridSpan w:val="3"/>
            <w:tcBorders>
              <w:top w:val="single" w:sz="4" w:space="0" w:color="auto"/>
              <w:bottom w:val="single" w:sz="4" w:space="0" w:color="auto"/>
            </w:tcBorders>
          </w:tcPr>
          <w:p w14:paraId="7FE5516D" w14:textId="77777777" w:rsidR="00000186" w:rsidRPr="005508E1" w:rsidRDefault="00000186" w:rsidP="00000186">
            <w:pPr>
              <w:jc w:val="center"/>
              <w:rPr>
                <w:rFonts w:cstheme="minorHAnsi"/>
                <w:b/>
              </w:rPr>
            </w:pPr>
            <w:r w:rsidRPr="005508E1">
              <w:rPr>
                <w:rFonts w:cstheme="minorHAnsi"/>
                <w:b/>
              </w:rPr>
              <w:t>Collective Bargaining</w:t>
            </w:r>
            <w:r>
              <w:rPr>
                <w:rFonts w:cstheme="minorHAnsi"/>
                <w:b/>
              </w:rPr>
              <w:t>?</w:t>
            </w:r>
            <w:r w:rsidRPr="005508E1">
              <w:rPr>
                <w:rFonts w:cstheme="minorHAnsi"/>
                <w:b/>
              </w:rPr>
              <w:t xml:space="preserve"> </w:t>
            </w:r>
          </w:p>
        </w:tc>
      </w:tr>
      <w:tr w:rsidR="00000186" w14:paraId="50C085F6" w14:textId="77777777" w:rsidTr="00000186">
        <w:tc>
          <w:tcPr>
            <w:tcW w:w="1558" w:type="dxa"/>
            <w:tcBorders>
              <w:top w:val="single" w:sz="4" w:space="0" w:color="auto"/>
              <w:bottom w:val="single" w:sz="4" w:space="0" w:color="auto"/>
            </w:tcBorders>
          </w:tcPr>
          <w:p w14:paraId="76312575" w14:textId="77777777" w:rsidR="00000186" w:rsidRDefault="00000186" w:rsidP="00000186">
            <w:pPr>
              <w:rPr>
                <w:rFonts w:cstheme="minorHAnsi"/>
              </w:rPr>
            </w:pPr>
            <w:r w:rsidRPr="0089474A">
              <w:rPr>
                <w:rFonts w:cstheme="minorHAnsi"/>
                <w:b/>
              </w:rPr>
              <w:t>Institution</w:t>
            </w:r>
          </w:p>
        </w:tc>
        <w:tc>
          <w:tcPr>
            <w:tcW w:w="1767" w:type="dxa"/>
            <w:tcBorders>
              <w:top w:val="single" w:sz="4" w:space="0" w:color="auto"/>
              <w:bottom w:val="single" w:sz="4" w:space="0" w:color="auto"/>
            </w:tcBorders>
          </w:tcPr>
          <w:p w14:paraId="5676DF8E" w14:textId="77777777" w:rsidR="00000186" w:rsidRDefault="00000186" w:rsidP="00000186">
            <w:pPr>
              <w:jc w:val="center"/>
              <w:rPr>
                <w:rFonts w:cstheme="minorHAnsi"/>
              </w:rPr>
            </w:pPr>
            <w:r w:rsidRPr="0089474A">
              <w:rPr>
                <w:rFonts w:cstheme="minorHAnsi"/>
                <w:b/>
              </w:rPr>
              <w:t>Academic Year</w:t>
            </w:r>
          </w:p>
        </w:tc>
        <w:tc>
          <w:tcPr>
            <w:tcW w:w="1710" w:type="dxa"/>
            <w:tcBorders>
              <w:top w:val="single" w:sz="4" w:space="0" w:color="auto"/>
              <w:bottom w:val="single" w:sz="4" w:space="0" w:color="auto"/>
            </w:tcBorders>
          </w:tcPr>
          <w:p w14:paraId="296B33B6" w14:textId="77777777" w:rsidR="00000186" w:rsidRDefault="00000186" w:rsidP="00000186">
            <w:pPr>
              <w:jc w:val="center"/>
              <w:rPr>
                <w:rFonts w:cstheme="minorHAnsi"/>
              </w:rPr>
            </w:pPr>
            <w:r w:rsidRPr="0089474A">
              <w:rPr>
                <w:rFonts w:cstheme="minorHAnsi"/>
                <w:b/>
              </w:rPr>
              <w:t>Full Year</w:t>
            </w:r>
          </w:p>
        </w:tc>
        <w:tc>
          <w:tcPr>
            <w:tcW w:w="1438" w:type="dxa"/>
            <w:tcBorders>
              <w:top w:val="single" w:sz="4" w:space="0" w:color="auto"/>
              <w:bottom w:val="single" w:sz="4" w:space="0" w:color="auto"/>
            </w:tcBorders>
          </w:tcPr>
          <w:p w14:paraId="10ABA0E4" w14:textId="77777777" w:rsidR="00000186" w:rsidRDefault="00000186" w:rsidP="00000186">
            <w:pPr>
              <w:jc w:val="center"/>
              <w:rPr>
                <w:rFonts w:cstheme="minorHAnsi"/>
              </w:rPr>
            </w:pPr>
            <w:r>
              <w:rPr>
                <w:rFonts w:cstheme="minorHAnsi"/>
              </w:rPr>
              <w:t>TA</w:t>
            </w:r>
          </w:p>
        </w:tc>
        <w:tc>
          <w:tcPr>
            <w:tcW w:w="1438" w:type="dxa"/>
            <w:tcBorders>
              <w:top w:val="single" w:sz="4" w:space="0" w:color="auto"/>
              <w:bottom w:val="single" w:sz="4" w:space="0" w:color="auto"/>
            </w:tcBorders>
          </w:tcPr>
          <w:p w14:paraId="23480127" w14:textId="77777777" w:rsidR="00000186" w:rsidRDefault="00000186" w:rsidP="00000186">
            <w:pPr>
              <w:jc w:val="center"/>
              <w:rPr>
                <w:rFonts w:cstheme="minorHAnsi"/>
              </w:rPr>
            </w:pPr>
            <w:r>
              <w:rPr>
                <w:rFonts w:cstheme="minorHAnsi"/>
              </w:rPr>
              <w:t>AA</w:t>
            </w:r>
          </w:p>
        </w:tc>
        <w:tc>
          <w:tcPr>
            <w:tcW w:w="1439" w:type="dxa"/>
            <w:tcBorders>
              <w:top w:val="single" w:sz="4" w:space="0" w:color="auto"/>
              <w:bottom w:val="single" w:sz="4" w:space="0" w:color="auto"/>
            </w:tcBorders>
          </w:tcPr>
          <w:p w14:paraId="1C610319" w14:textId="77777777" w:rsidR="00000186" w:rsidRDefault="00000186" w:rsidP="00000186">
            <w:pPr>
              <w:jc w:val="center"/>
              <w:rPr>
                <w:rFonts w:cstheme="minorHAnsi"/>
              </w:rPr>
            </w:pPr>
            <w:r>
              <w:rPr>
                <w:rFonts w:cstheme="minorHAnsi"/>
              </w:rPr>
              <w:t>RA</w:t>
            </w:r>
          </w:p>
        </w:tc>
      </w:tr>
      <w:tr w:rsidR="00000186" w:rsidRPr="00E91D26" w14:paraId="7FBE2AD3" w14:textId="77777777" w:rsidTr="00000186">
        <w:tc>
          <w:tcPr>
            <w:tcW w:w="1558" w:type="dxa"/>
            <w:tcBorders>
              <w:top w:val="single" w:sz="4" w:space="0" w:color="auto"/>
            </w:tcBorders>
          </w:tcPr>
          <w:p w14:paraId="04E00AD5" w14:textId="77777777" w:rsidR="00000186" w:rsidRPr="00E91D26" w:rsidRDefault="00000186" w:rsidP="00000186">
            <w:pPr>
              <w:rPr>
                <w:rFonts w:cstheme="minorHAnsi"/>
              </w:rPr>
            </w:pPr>
            <w:r w:rsidRPr="00E91D26">
              <w:rPr>
                <w:rFonts w:cstheme="minorHAnsi"/>
              </w:rPr>
              <w:t>Rutgers</w:t>
            </w:r>
            <w:r w:rsidRPr="00E91D26">
              <w:rPr>
                <w:rFonts w:cstheme="minorHAnsi"/>
                <w:vertAlign w:val="superscript"/>
              </w:rPr>
              <w:t>1</w:t>
            </w:r>
          </w:p>
        </w:tc>
        <w:tc>
          <w:tcPr>
            <w:tcW w:w="1767" w:type="dxa"/>
            <w:tcBorders>
              <w:top w:val="single" w:sz="4" w:space="0" w:color="auto"/>
            </w:tcBorders>
          </w:tcPr>
          <w:p w14:paraId="220C4667" w14:textId="77777777" w:rsidR="00000186" w:rsidRPr="00E91D26" w:rsidRDefault="00000186" w:rsidP="00000186">
            <w:pPr>
              <w:ind w:right="432"/>
              <w:jc w:val="right"/>
              <w:rPr>
                <w:rFonts w:cstheme="minorHAnsi"/>
              </w:rPr>
            </w:pPr>
            <w:r w:rsidRPr="00E91D26">
              <w:rPr>
                <w:rFonts w:cstheme="minorHAnsi"/>
              </w:rPr>
              <w:t>28,569</w:t>
            </w:r>
          </w:p>
        </w:tc>
        <w:tc>
          <w:tcPr>
            <w:tcW w:w="1710" w:type="dxa"/>
            <w:tcBorders>
              <w:top w:val="single" w:sz="4" w:space="0" w:color="auto"/>
            </w:tcBorders>
          </w:tcPr>
          <w:p w14:paraId="4BF599A9" w14:textId="77777777" w:rsidR="00000186" w:rsidRPr="00E91D26" w:rsidRDefault="00000186" w:rsidP="00000186">
            <w:pPr>
              <w:ind w:right="432"/>
              <w:jc w:val="right"/>
              <w:rPr>
                <w:rFonts w:cstheme="minorHAnsi"/>
              </w:rPr>
            </w:pPr>
            <w:r w:rsidRPr="00E91D26">
              <w:rPr>
                <w:rFonts w:cstheme="minorHAnsi"/>
              </w:rPr>
              <w:t>32,204</w:t>
            </w:r>
          </w:p>
        </w:tc>
        <w:tc>
          <w:tcPr>
            <w:tcW w:w="1438" w:type="dxa"/>
            <w:tcBorders>
              <w:top w:val="single" w:sz="4" w:space="0" w:color="auto"/>
            </w:tcBorders>
          </w:tcPr>
          <w:p w14:paraId="2814C3BC" w14:textId="77777777" w:rsidR="00000186" w:rsidRPr="00E91D26" w:rsidRDefault="00000186" w:rsidP="00000186">
            <w:pPr>
              <w:jc w:val="center"/>
              <w:rPr>
                <w:rFonts w:cstheme="minorHAnsi"/>
              </w:rPr>
            </w:pPr>
            <w:r w:rsidRPr="00E91D26">
              <w:rPr>
                <w:rFonts w:cstheme="minorHAnsi"/>
              </w:rPr>
              <w:t>Y</w:t>
            </w:r>
          </w:p>
        </w:tc>
        <w:tc>
          <w:tcPr>
            <w:tcW w:w="1438" w:type="dxa"/>
            <w:tcBorders>
              <w:top w:val="single" w:sz="4" w:space="0" w:color="auto"/>
            </w:tcBorders>
          </w:tcPr>
          <w:p w14:paraId="3FA5C6E2" w14:textId="77777777" w:rsidR="00000186" w:rsidRPr="00E91D26" w:rsidRDefault="00000186" w:rsidP="00000186">
            <w:pPr>
              <w:jc w:val="center"/>
              <w:rPr>
                <w:rFonts w:cstheme="minorHAnsi"/>
              </w:rPr>
            </w:pPr>
            <w:r w:rsidRPr="00E91D26">
              <w:rPr>
                <w:rFonts w:cstheme="minorHAnsi"/>
              </w:rPr>
              <w:t>Y</w:t>
            </w:r>
          </w:p>
        </w:tc>
        <w:tc>
          <w:tcPr>
            <w:tcW w:w="1439" w:type="dxa"/>
            <w:tcBorders>
              <w:top w:val="single" w:sz="4" w:space="0" w:color="auto"/>
            </w:tcBorders>
          </w:tcPr>
          <w:p w14:paraId="55CB9FCC" w14:textId="77777777" w:rsidR="00000186" w:rsidRPr="00E91D26" w:rsidRDefault="00000186" w:rsidP="00000186">
            <w:pPr>
              <w:jc w:val="center"/>
              <w:rPr>
                <w:rFonts w:cstheme="minorHAnsi"/>
              </w:rPr>
            </w:pPr>
            <w:r w:rsidRPr="00E91D26">
              <w:rPr>
                <w:rFonts w:cstheme="minorHAnsi"/>
              </w:rPr>
              <w:t>Y</w:t>
            </w:r>
          </w:p>
        </w:tc>
      </w:tr>
      <w:tr w:rsidR="00000186" w:rsidRPr="00E91D26" w14:paraId="118F207A" w14:textId="77777777" w:rsidTr="00000186">
        <w:tc>
          <w:tcPr>
            <w:tcW w:w="1558" w:type="dxa"/>
          </w:tcPr>
          <w:p w14:paraId="3D7DD910" w14:textId="77777777" w:rsidR="00000186" w:rsidRPr="00E91D26" w:rsidRDefault="00000186" w:rsidP="00000186">
            <w:pPr>
              <w:rPr>
                <w:rFonts w:cstheme="minorHAnsi"/>
              </w:rPr>
            </w:pPr>
            <w:r w:rsidRPr="00E91D26">
              <w:rPr>
                <w:rFonts w:cstheme="minorHAnsi"/>
              </w:rPr>
              <w:t>Michigan</w:t>
            </w:r>
            <w:r w:rsidRPr="00E91D26">
              <w:rPr>
                <w:rFonts w:cstheme="minorHAnsi"/>
                <w:vertAlign w:val="superscript"/>
              </w:rPr>
              <w:t>2</w:t>
            </w:r>
          </w:p>
        </w:tc>
        <w:tc>
          <w:tcPr>
            <w:tcW w:w="1767" w:type="dxa"/>
          </w:tcPr>
          <w:p w14:paraId="1FFD10C2" w14:textId="77777777" w:rsidR="00000186" w:rsidRPr="00E91D26" w:rsidRDefault="00000186" w:rsidP="00000186">
            <w:pPr>
              <w:ind w:right="432"/>
              <w:jc w:val="right"/>
              <w:rPr>
                <w:rFonts w:cstheme="minorHAnsi"/>
              </w:rPr>
            </w:pPr>
            <w:r w:rsidRPr="00E91D26">
              <w:rPr>
                <w:rFonts w:cstheme="minorHAnsi"/>
              </w:rPr>
              <w:t>21,779</w:t>
            </w:r>
          </w:p>
        </w:tc>
        <w:tc>
          <w:tcPr>
            <w:tcW w:w="1710" w:type="dxa"/>
          </w:tcPr>
          <w:p w14:paraId="4A78A310" w14:textId="77777777" w:rsidR="00000186" w:rsidRPr="00E91D26" w:rsidRDefault="00000186" w:rsidP="00000186">
            <w:pPr>
              <w:ind w:right="432"/>
              <w:jc w:val="right"/>
              <w:rPr>
                <w:rFonts w:cstheme="minorHAnsi"/>
              </w:rPr>
            </w:pPr>
          </w:p>
        </w:tc>
        <w:tc>
          <w:tcPr>
            <w:tcW w:w="1438" w:type="dxa"/>
          </w:tcPr>
          <w:p w14:paraId="11148CAF" w14:textId="77777777" w:rsidR="00000186" w:rsidRPr="00E91D26" w:rsidRDefault="00000186" w:rsidP="00000186">
            <w:pPr>
              <w:jc w:val="center"/>
              <w:rPr>
                <w:rFonts w:cstheme="minorHAnsi"/>
              </w:rPr>
            </w:pPr>
            <w:r w:rsidRPr="00E91D26">
              <w:rPr>
                <w:rFonts w:cstheme="minorHAnsi"/>
              </w:rPr>
              <w:t>Y</w:t>
            </w:r>
          </w:p>
        </w:tc>
        <w:tc>
          <w:tcPr>
            <w:tcW w:w="1438" w:type="dxa"/>
          </w:tcPr>
          <w:p w14:paraId="5C65D051" w14:textId="77777777" w:rsidR="00000186" w:rsidRPr="00E91D26" w:rsidRDefault="00000186" w:rsidP="00000186">
            <w:pPr>
              <w:jc w:val="center"/>
              <w:rPr>
                <w:rFonts w:cstheme="minorHAnsi"/>
              </w:rPr>
            </w:pPr>
            <w:r w:rsidRPr="00E91D26">
              <w:rPr>
                <w:rFonts w:cstheme="minorHAnsi"/>
              </w:rPr>
              <w:t>Y</w:t>
            </w:r>
          </w:p>
        </w:tc>
        <w:tc>
          <w:tcPr>
            <w:tcW w:w="1439" w:type="dxa"/>
          </w:tcPr>
          <w:p w14:paraId="48F59CDA" w14:textId="77777777" w:rsidR="00000186" w:rsidRPr="00E91D26" w:rsidRDefault="00000186" w:rsidP="00000186">
            <w:pPr>
              <w:jc w:val="center"/>
              <w:rPr>
                <w:rFonts w:cstheme="minorHAnsi"/>
              </w:rPr>
            </w:pPr>
          </w:p>
        </w:tc>
      </w:tr>
      <w:tr w:rsidR="00000186" w:rsidRPr="00E91D26" w14:paraId="23C8B224" w14:textId="77777777" w:rsidTr="00000186">
        <w:tc>
          <w:tcPr>
            <w:tcW w:w="1558" w:type="dxa"/>
          </w:tcPr>
          <w:p w14:paraId="3ADDB486" w14:textId="77777777" w:rsidR="00000186" w:rsidRPr="00E91D26" w:rsidRDefault="00000186" w:rsidP="00000186">
            <w:pPr>
              <w:rPr>
                <w:rFonts w:cstheme="minorHAnsi"/>
              </w:rPr>
            </w:pPr>
            <w:r w:rsidRPr="00E91D26">
              <w:rPr>
                <w:rFonts w:cstheme="minorHAnsi"/>
              </w:rPr>
              <w:t>Penn State</w:t>
            </w:r>
          </w:p>
        </w:tc>
        <w:tc>
          <w:tcPr>
            <w:tcW w:w="1767" w:type="dxa"/>
          </w:tcPr>
          <w:p w14:paraId="6663481A" w14:textId="77777777" w:rsidR="00000186" w:rsidRPr="00E91D26" w:rsidRDefault="00000186" w:rsidP="00000186">
            <w:pPr>
              <w:ind w:right="432"/>
              <w:jc w:val="right"/>
              <w:rPr>
                <w:rFonts w:cstheme="minorHAnsi"/>
              </w:rPr>
            </w:pPr>
            <w:r w:rsidRPr="00E91D26">
              <w:rPr>
                <w:rFonts w:cstheme="minorHAnsi"/>
              </w:rPr>
              <w:t>20,790</w:t>
            </w:r>
          </w:p>
        </w:tc>
        <w:tc>
          <w:tcPr>
            <w:tcW w:w="1710" w:type="dxa"/>
          </w:tcPr>
          <w:p w14:paraId="09D1FBF8" w14:textId="77777777" w:rsidR="00000186" w:rsidRPr="00E91D26" w:rsidRDefault="00000186" w:rsidP="00000186">
            <w:pPr>
              <w:ind w:right="432"/>
              <w:jc w:val="right"/>
              <w:rPr>
                <w:rFonts w:cstheme="minorHAnsi"/>
              </w:rPr>
            </w:pPr>
            <w:r w:rsidRPr="00E91D26">
              <w:rPr>
                <w:rFonts w:cstheme="minorHAnsi"/>
              </w:rPr>
              <w:t>27,720</w:t>
            </w:r>
          </w:p>
        </w:tc>
        <w:tc>
          <w:tcPr>
            <w:tcW w:w="1438" w:type="dxa"/>
          </w:tcPr>
          <w:p w14:paraId="57BC097F" w14:textId="77777777" w:rsidR="00000186" w:rsidRPr="00E91D26" w:rsidRDefault="00000186" w:rsidP="00000186">
            <w:pPr>
              <w:jc w:val="center"/>
              <w:rPr>
                <w:rFonts w:cstheme="minorHAnsi"/>
              </w:rPr>
            </w:pPr>
          </w:p>
        </w:tc>
        <w:tc>
          <w:tcPr>
            <w:tcW w:w="1438" w:type="dxa"/>
          </w:tcPr>
          <w:p w14:paraId="63C53403" w14:textId="77777777" w:rsidR="00000186" w:rsidRPr="00E91D26" w:rsidRDefault="00000186" w:rsidP="00000186">
            <w:pPr>
              <w:jc w:val="center"/>
              <w:rPr>
                <w:rFonts w:cstheme="minorHAnsi"/>
              </w:rPr>
            </w:pPr>
          </w:p>
        </w:tc>
        <w:tc>
          <w:tcPr>
            <w:tcW w:w="1439" w:type="dxa"/>
          </w:tcPr>
          <w:p w14:paraId="1F693FFE" w14:textId="77777777" w:rsidR="00000186" w:rsidRPr="00E91D26" w:rsidRDefault="00000186" w:rsidP="00000186">
            <w:pPr>
              <w:jc w:val="center"/>
              <w:rPr>
                <w:rFonts w:cstheme="minorHAnsi"/>
              </w:rPr>
            </w:pPr>
          </w:p>
        </w:tc>
      </w:tr>
      <w:tr w:rsidR="00000186" w:rsidRPr="00E91D26" w14:paraId="6629C78A" w14:textId="77777777" w:rsidTr="00000186">
        <w:tc>
          <w:tcPr>
            <w:tcW w:w="1558" w:type="dxa"/>
          </w:tcPr>
          <w:p w14:paraId="6566D1C3" w14:textId="77777777" w:rsidR="00000186" w:rsidRPr="00E91D26" w:rsidRDefault="00000186" w:rsidP="00000186">
            <w:pPr>
              <w:rPr>
                <w:rFonts w:cstheme="minorHAnsi"/>
              </w:rPr>
            </w:pPr>
            <w:r w:rsidRPr="00E91D26">
              <w:rPr>
                <w:rFonts w:cstheme="minorHAnsi"/>
              </w:rPr>
              <w:t>Wisconsin</w:t>
            </w:r>
          </w:p>
        </w:tc>
        <w:tc>
          <w:tcPr>
            <w:tcW w:w="1767" w:type="dxa"/>
          </w:tcPr>
          <w:p w14:paraId="348A1901" w14:textId="77777777" w:rsidR="00000186" w:rsidRPr="00E91D26" w:rsidRDefault="00000186" w:rsidP="00000186">
            <w:pPr>
              <w:ind w:right="432"/>
              <w:jc w:val="right"/>
              <w:rPr>
                <w:rFonts w:cstheme="minorHAnsi"/>
              </w:rPr>
            </w:pPr>
            <w:r w:rsidRPr="00E91D26">
              <w:rPr>
                <w:rFonts w:cstheme="minorHAnsi"/>
              </w:rPr>
              <w:t>20,000</w:t>
            </w:r>
          </w:p>
        </w:tc>
        <w:tc>
          <w:tcPr>
            <w:tcW w:w="1710" w:type="dxa"/>
          </w:tcPr>
          <w:p w14:paraId="30EE1C2C" w14:textId="77777777" w:rsidR="00000186" w:rsidRPr="00E91D26" w:rsidRDefault="00000186" w:rsidP="00000186">
            <w:pPr>
              <w:ind w:right="432"/>
              <w:jc w:val="right"/>
              <w:rPr>
                <w:rFonts w:cstheme="minorHAnsi"/>
              </w:rPr>
            </w:pPr>
            <w:r w:rsidRPr="00E91D26">
              <w:rPr>
                <w:rFonts w:cstheme="minorHAnsi"/>
              </w:rPr>
              <w:t>24,443</w:t>
            </w:r>
          </w:p>
        </w:tc>
        <w:tc>
          <w:tcPr>
            <w:tcW w:w="1438" w:type="dxa"/>
          </w:tcPr>
          <w:p w14:paraId="39BB9189" w14:textId="77777777" w:rsidR="00000186" w:rsidRPr="00E91D26" w:rsidRDefault="00000186" w:rsidP="00000186">
            <w:pPr>
              <w:jc w:val="center"/>
              <w:rPr>
                <w:rFonts w:cstheme="minorHAnsi"/>
              </w:rPr>
            </w:pPr>
          </w:p>
        </w:tc>
        <w:tc>
          <w:tcPr>
            <w:tcW w:w="1438" w:type="dxa"/>
          </w:tcPr>
          <w:p w14:paraId="6BCB0E88" w14:textId="77777777" w:rsidR="00000186" w:rsidRPr="00E91D26" w:rsidRDefault="00000186" w:rsidP="00000186">
            <w:pPr>
              <w:jc w:val="center"/>
              <w:rPr>
                <w:rFonts w:cstheme="minorHAnsi"/>
              </w:rPr>
            </w:pPr>
          </w:p>
        </w:tc>
        <w:tc>
          <w:tcPr>
            <w:tcW w:w="1439" w:type="dxa"/>
          </w:tcPr>
          <w:p w14:paraId="67F96879" w14:textId="77777777" w:rsidR="00000186" w:rsidRPr="00E91D26" w:rsidRDefault="00000186" w:rsidP="00000186">
            <w:pPr>
              <w:jc w:val="center"/>
              <w:rPr>
                <w:rFonts w:cstheme="minorHAnsi"/>
              </w:rPr>
            </w:pPr>
          </w:p>
        </w:tc>
      </w:tr>
      <w:tr w:rsidR="00000186" w:rsidRPr="00E91D26" w14:paraId="63C61EDE" w14:textId="77777777" w:rsidTr="00000186">
        <w:tc>
          <w:tcPr>
            <w:tcW w:w="1558" w:type="dxa"/>
          </w:tcPr>
          <w:p w14:paraId="6BD8F450" w14:textId="77777777" w:rsidR="00000186" w:rsidRPr="00E91D26" w:rsidRDefault="00000186" w:rsidP="00000186">
            <w:pPr>
              <w:rPr>
                <w:rFonts w:cstheme="minorHAnsi"/>
              </w:rPr>
            </w:pPr>
            <w:r w:rsidRPr="00E91D26">
              <w:rPr>
                <w:rFonts w:cstheme="minorHAnsi"/>
              </w:rPr>
              <w:t>Iowa</w:t>
            </w:r>
          </w:p>
        </w:tc>
        <w:tc>
          <w:tcPr>
            <w:tcW w:w="1767" w:type="dxa"/>
          </w:tcPr>
          <w:p w14:paraId="7D219293" w14:textId="77777777" w:rsidR="00000186" w:rsidRPr="00E91D26" w:rsidRDefault="00000186" w:rsidP="00000186">
            <w:pPr>
              <w:ind w:right="432"/>
              <w:jc w:val="right"/>
              <w:rPr>
                <w:rFonts w:cstheme="minorHAnsi"/>
              </w:rPr>
            </w:pPr>
            <w:r w:rsidRPr="00E91D26">
              <w:rPr>
                <w:rFonts w:cstheme="minorHAnsi"/>
              </w:rPr>
              <w:t>19,629</w:t>
            </w:r>
          </w:p>
        </w:tc>
        <w:tc>
          <w:tcPr>
            <w:tcW w:w="1710" w:type="dxa"/>
          </w:tcPr>
          <w:p w14:paraId="0C0118CD" w14:textId="77777777" w:rsidR="00000186" w:rsidRPr="00E91D26" w:rsidRDefault="00000186" w:rsidP="00000186">
            <w:pPr>
              <w:ind w:right="432"/>
              <w:jc w:val="right"/>
              <w:rPr>
                <w:rFonts w:cstheme="minorHAnsi"/>
              </w:rPr>
            </w:pPr>
            <w:r w:rsidRPr="00E91D26">
              <w:rPr>
                <w:rFonts w:cstheme="minorHAnsi"/>
              </w:rPr>
              <w:t>23,982</w:t>
            </w:r>
          </w:p>
        </w:tc>
        <w:tc>
          <w:tcPr>
            <w:tcW w:w="1438" w:type="dxa"/>
          </w:tcPr>
          <w:p w14:paraId="21212CA4" w14:textId="77777777" w:rsidR="00000186" w:rsidRPr="00E91D26" w:rsidRDefault="00000186" w:rsidP="00000186">
            <w:pPr>
              <w:jc w:val="center"/>
              <w:rPr>
                <w:rFonts w:cstheme="minorHAnsi"/>
              </w:rPr>
            </w:pPr>
            <w:r w:rsidRPr="00E91D26">
              <w:rPr>
                <w:rFonts w:cstheme="minorHAnsi"/>
              </w:rPr>
              <w:t>Y</w:t>
            </w:r>
          </w:p>
        </w:tc>
        <w:tc>
          <w:tcPr>
            <w:tcW w:w="1438" w:type="dxa"/>
          </w:tcPr>
          <w:p w14:paraId="10BA63F3" w14:textId="77777777" w:rsidR="00000186" w:rsidRPr="00E91D26" w:rsidRDefault="00000186" w:rsidP="00000186">
            <w:pPr>
              <w:jc w:val="center"/>
              <w:rPr>
                <w:rFonts w:cstheme="minorHAnsi"/>
              </w:rPr>
            </w:pPr>
            <w:r w:rsidRPr="00E91D26">
              <w:rPr>
                <w:rFonts w:cstheme="minorHAnsi"/>
              </w:rPr>
              <w:t>Y</w:t>
            </w:r>
          </w:p>
        </w:tc>
        <w:tc>
          <w:tcPr>
            <w:tcW w:w="1439" w:type="dxa"/>
          </w:tcPr>
          <w:p w14:paraId="599928FC" w14:textId="77777777" w:rsidR="00000186" w:rsidRPr="00E91D26" w:rsidRDefault="00000186" w:rsidP="00000186">
            <w:pPr>
              <w:jc w:val="center"/>
              <w:rPr>
                <w:rFonts w:cstheme="minorHAnsi"/>
              </w:rPr>
            </w:pPr>
          </w:p>
        </w:tc>
      </w:tr>
      <w:tr w:rsidR="00000186" w:rsidRPr="00E91D26" w14:paraId="38E70738" w14:textId="77777777" w:rsidTr="00000186">
        <w:tc>
          <w:tcPr>
            <w:tcW w:w="1558" w:type="dxa"/>
          </w:tcPr>
          <w:p w14:paraId="429B03E3" w14:textId="77777777" w:rsidR="00000186" w:rsidRPr="00E91D26" w:rsidRDefault="00000186" w:rsidP="00000186">
            <w:pPr>
              <w:rPr>
                <w:rFonts w:cstheme="minorHAnsi"/>
              </w:rPr>
            </w:pPr>
            <w:r w:rsidRPr="00E91D26">
              <w:rPr>
                <w:rFonts w:cstheme="minorHAnsi"/>
                <w:b/>
              </w:rPr>
              <w:t>Maryland</w:t>
            </w:r>
            <w:r w:rsidRPr="00E91D26">
              <w:rPr>
                <w:rFonts w:cstheme="minorHAnsi"/>
                <w:vertAlign w:val="superscript"/>
              </w:rPr>
              <w:t>3</w:t>
            </w:r>
          </w:p>
        </w:tc>
        <w:tc>
          <w:tcPr>
            <w:tcW w:w="1767" w:type="dxa"/>
          </w:tcPr>
          <w:p w14:paraId="4FF1021E" w14:textId="77777777" w:rsidR="00000186" w:rsidRPr="00E91D26" w:rsidRDefault="00000186" w:rsidP="00000186">
            <w:pPr>
              <w:ind w:right="432"/>
              <w:jc w:val="right"/>
              <w:rPr>
                <w:rFonts w:cstheme="minorHAnsi"/>
              </w:rPr>
            </w:pPr>
            <w:r w:rsidRPr="00E91D26">
              <w:rPr>
                <w:rFonts w:cstheme="minorHAnsi"/>
                <w:b/>
              </w:rPr>
              <w:t>18,979</w:t>
            </w:r>
          </w:p>
        </w:tc>
        <w:tc>
          <w:tcPr>
            <w:tcW w:w="1710" w:type="dxa"/>
          </w:tcPr>
          <w:p w14:paraId="6BEB0CE4" w14:textId="77777777" w:rsidR="00000186" w:rsidRPr="00E91D26" w:rsidRDefault="00000186" w:rsidP="00000186">
            <w:pPr>
              <w:ind w:right="432"/>
              <w:jc w:val="right"/>
              <w:rPr>
                <w:rFonts w:cstheme="minorHAnsi"/>
              </w:rPr>
            </w:pPr>
            <w:r w:rsidRPr="00E91D26">
              <w:rPr>
                <w:rFonts w:cstheme="minorHAnsi"/>
                <w:b/>
              </w:rPr>
              <w:t>23,973</w:t>
            </w:r>
          </w:p>
        </w:tc>
        <w:tc>
          <w:tcPr>
            <w:tcW w:w="1438" w:type="dxa"/>
          </w:tcPr>
          <w:p w14:paraId="335A786C" w14:textId="77777777" w:rsidR="00000186" w:rsidRPr="00E91D26" w:rsidRDefault="00000186" w:rsidP="00000186">
            <w:pPr>
              <w:jc w:val="center"/>
              <w:rPr>
                <w:rFonts w:cstheme="minorHAnsi"/>
              </w:rPr>
            </w:pPr>
          </w:p>
        </w:tc>
        <w:tc>
          <w:tcPr>
            <w:tcW w:w="1438" w:type="dxa"/>
          </w:tcPr>
          <w:p w14:paraId="30CA88CC" w14:textId="77777777" w:rsidR="00000186" w:rsidRPr="00E91D26" w:rsidRDefault="00000186" w:rsidP="00000186">
            <w:pPr>
              <w:jc w:val="center"/>
              <w:rPr>
                <w:rFonts w:cstheme="minorHAnsi"/>
              </w:rPr>
            </w:pPr>
          </w:p>
        </w:tc>
        <w:tc>
          <w:tcPr>
            <w:tcW w:w="1439" w:type="dxa"/>
          </w:tcPr>
          <w:p w14:paraId="64EED179" w14:textId="77777777" w:rsidR="00000186" w:rsidRPr="00E91D26" w:rsidRDefault="00000186" w:rsidP="00000186">
            <w:pPr>
              <w:jc w:val="center"/>
              <w:rPr>
                <w:rFonts w:cstheme="minorHAnsi"/>
              </w:rPr>
            </w:pPr>
          </w:p>
        </w:tc>
      </w:tr>
      <w:tr w:rsidR="00000186" w:rsidRPr="00E91D26" w14:paraId="639478FE" w14:textId="77777777" w:rsidTr="00000186">
        <w:tc>
          <w:tcPr>
            <w:tcW w:w="1558" w:type="dxa"/>
          </w:tcPr>
          <w:p w14:paraId="120CB747" w14:textId="77777777" w:rsidR="00000186" w:rsidRPr="00E91D26" w:rsidRDefault="00000186" w:rsidP="00000186">
            <w:pPr>
              <w:rPr>
                <w:rFonts w:cstheme="minorHAnsi"/>
              </w:rPr>
            </w:pPr>
            <w:r w:rsidRPr="00E91D26">
              <w:rPr>
                <w:rFonts w:cstheme="minorHAnsi"/>
              </w:rPr>
              <w:t>Illinois</w:t>
            </w:r>
          </w:p>
        </w:tc>
        <w:tc>
          <w:tcPr>
            <w:tcW w:w="1767" w:type="dxa"/>
          </w:tcPr>
          <w:p w14:paraId="0CDFE0A9" w14:textId="77777777" w:rsidR="00000186" w:rsidRPr="00E91D26" w:rsidRDefault="00000186" w:rsidP="00000186">
            <w:pPr>
              <w:ind w:right="432"/>
              <w:jc w:val="right"/>
              <w:rPr>
                <w:rFonts w:cstheme="minorHAnsi"/>
              </w:rPr>
            </w:pPr>
            <w:r w:rsidRPr="00E91D26">
              <w:rPr>
                <w:rFonts w:cstheme="minorHAnsi"/>
              </w:rPr>
              <w:t>17,788</w:t>
            </w:r>
          </w:p>
        </w:tc>
        <w:tc>
          <w:tcPr>
            <w:tcW w:w="1710" w:type="dxa"/>
          </w:tcPr>
          <w:p w14:paraId="03BA59E9" w14:textId="77777777" w:rsidR="00000186" w:rsidRPr="00E91D26" w:rsidRDefault="00000186" w:rsidP="00000186">
            <w:pPr>
              <w:ind w:right="432"/>
              <w:jc w:val="right"/>
              <w:rPr>
                <w:rFonts w:cstheme="minorHAnsi"/>
              </w:rPr>
            </w:pPr>
            <w:r w:rsidRPr="00E91D26">
              <w:rPr>
                <w:rFonts w:cstheme="minorHAnsi"/>
              </w:rPr>
              <w:t>23,717</w:t>
            </w:r>
          </w:p>
        </w:tc>
        <w:tc>
          <w:tcPr>
            <w:tcW w:w="1438" w:type="dxa"/>
          </w:tcPr>
          <w:p w14:paraId="1F18010F" w14:textId="77777777" w:rsidR="00000186" w:rsidRPr="00E91D26" w:rsidRDefault="00000186" w:rsidP="00000186">
            <w:pPr>
              <w:jc w:val="center"/>
              <w:rPr>
                <w:rFonts w:cstheme="minorHAnsi"/>
              </w:rPr>
            </w:pPr>
            <w:r w:rsidRPr="00E91D26">
              <w:rPr>
                <w:rFonts w:cstheme="minorHAnsi"/>
              </w:rPr>
              <w:t>Y</w:t>
            </w:r>
          </w:p>
        </w:tc>
        <w:tc>
          <w:tcPr>
            <w:tcW w:w="1438" w:type="dxa"/>
          </w:tcPr>
          <w:p w14:paraId="76ED65E0" w14:textId="77777777" w:rsidR="00000186" w:rsidRPr="00E91D26" w:rsidRDefault="00000186" w:rsidP="00000186">
            <w:pPr>
              <w:jc w:val="center"/>
              <w:rPr>
                <w:rFonts w:cstheme="minorHAnsi"/>
              </w:rPr>
            </w:pPr>
            <w:r w:rsidRPr="00E91D26">
              <w:rPr>
                <w:rFonts w:cstheme="minorHAnsi"/>
              </w:rPr>
              <w:t>Y</w:t>
            </w:r>
          </w:p>
        </w:tc>
        <w:tc>
          <w:tcPr>
            <w:tcW w:w="1439" w:type="dxa"/>
          </w:tcPr>
          <w:p w14:paraId="0C6A42E1" w14:textId="77777777" w:rsidR="00000186" w:rsidRPr="00E91D26" w:rsidRDefault="00000186" w:rsidP="00000186">
            <w:pPr>
              <w:jc w:val="center"/>
              <w:rPr>
                <w:rFonts w:cstheme="minorHAnsi"/>
              </w:rPr>
            </w:pPr>
          </w:p>
        </w:tc>
      </w:tr>
      <w:tr w:rsidR="00000186" w:rsidRPr="00E91D26" w14:paraId="2302C7B2" w14:textId="77777777" w:rsidTr="00000186">
        <w:tc>
          <w:tcPr>
            <w:tcW w:w="1558" w:type="dxa"/>
          </w:tcPr>
          <w:p w14:paraId="51F29E82" w14:textId="77777777" w:rsidR="00000186" w:rsidRPr="00E91D26" w:rsidRDefault="00000186" w:rsidP="00000186">
            <w:pPr>
              <w:rPr>
                <w:rFonts w:cstheme="minorHAnsi"/>
              </w:rPr>
            </w:pPr>
            <w:r w:rsidRPr="00E91D26">
              <w:rPr>
                <w:rFonts w:cstheme="minorHAnsi"/>
              </w:rPr>
              <w:t>Ohio State</w:t>
            </w:r>
          </w:p>
        </w:tc>
        <w:tc>
          <w:tcPr>
            <w:tcW w:w="1767" w:type="dxa"/>
          </w:tcPr>
          <w:p w14:paraId="63B7D331" w14:textId="77777777" w:rsidR="00000186" w:rsidRPr="00E91D26" w:rsidRDefault="00000186" w:rsidP="00000186">
            <w:pPr>
              <w:ind w:right="432"/>
              <w:jc w:val="right"/>
              <w:rPr>
                <w:rFonts w:cstheme="minorHAnsi"/>
              </w:rPr>
            </w:pPr>
            <w:r w:rsidRPr="00E91D26">
              <w:rPr>
                <w:rFonts w:cstheme="minorHAnsi"/>
              </w:rPr>
              <w:t>17,280</w:t>
            </w:r>
          </w:p>
        </w:tc>
        <w:tc>
          <w:tcPr>
            <w:tcW w:w="1710" w:type="dxa"/>
          </w:tcPr>
          <w:p w14:paraId="1E2DE335" w14:textId="77777777" w:rsidR="00000186" w:rsidRPr="00E91D26" w:rsidRDefault="00000186" w:rsidP="00000186">
            <w:pPr>
              <w:ind w:right="432"/>
              <w:jc w:val="right"/>
              <w:rPr>
                <w:rFonts w:cstheme="minorHAnsi"/>
              </w:rPr>
            </w:pPr>
            <w:r w:rsidRPr="00E91D26">
              <w:rPr>
                <w:rFonts w:cstheme="minorHAnsi"/>
              </w:rPr>
              <w:t>23,040</w:t>
            </w:r>
          </w:p>
        </w:tc>
        <w:tc>
          <w:tcPr>
            <w:tcW w:w="1438" w:type="dxa"/>
          </w:tcPr>
          <w:p w14:paraId="61722B03" w14:textId="77777777" w:rsidR="00000186" w:rsidRPr="00E91D26" w:rsidRDefault="00000186" w:rsidP="00000186">
            <w:pPr>
              <w:jc w:val="center"/>
              <w:rPr>
                <w:rFonts w:cstheme="minorHAnsi"/>
              </w:rPr>
            </w:pPr>
          </w:p>
        </w:tc>
        <w:tc>
          <w:tcPr>
            <w:tcW w:w="1438" w:type="dxa"/>
          </w:tcPr>
          <w:p w14:paraId="73E90C38" w14:textId="77777777" w:rsidR="00000186" w:rsidRPr="00E91D26" w:rsidRDefault="00000186" w:rsidP="00000186">
            <w:pPr>
              <w:jc w:val="center"/>
              <w:rPr>
                <w:rFonts w:cstheme="minorHAnsi"/>
              </w:rPr>
            </w:pPr>
          </w:p>
        </w:tc>
        <w:tc>
          <w:tcPr>
            <w:tcW w:w="1439" w:type="dxa"/>
          </w:tcPr>
          <w:p w14:paraId="4E86C365" w14:textId="77777777" w:rsidR="00000186" w:rsidRPr="00E91D26" w:rsidRDefault="00000186" w:rsidP="00000186">
            <w:pPr>
              <w:jc w:val="center"/>
              <w:rPr>
                <w:rFonts w:cstheme="minorHAnsi"/>
              </w:rPr>
            </w:pPr>
          </w:p>
        </w:tc>
      </w:tr>
      <w:tr w:rsidR="00000186" w:rsidRPr="00E91D26" w14:paraId="50C5C5C9" w14:textId="77777777" w:rsidTr="00000186">
        <w:tc>
          <w:tcPr>
            <w:tcW w:w="1558" w:type="dxa"/>
          </w:tcPr>
          <w:p w14:paraId="3CB3AE83" w14:textId="77777777" w:rsidR="00000186" w:rsidRPr="00E91D26" w:rsidRDefault="00000186" w:rsidP="00000186">
            <w:pPr>
              <w:rPr>
                <w:rFonts w:cstheme="minorHAnsi"/>
              </w:rPr>
            </w:pPr>
            <w:r w:rsidRPr="00E91D26">
              <w:rPr>
                <w:rFonts w:cstheme="minorHAnsi"/>
              </w:rPr>
              <w:t>Michigan St</w:t>
            </w:r>
            <w:r w:rsidRPr="00E91D26">
              <w:rPr>
                <w:rFonts w:cstheme="minorHAnsi"/>
                <w:vertAlign w:val="superscript"/>
              </w:rPr>
              <w:t>4</w:t>
            </w:r>
          </w:p>
        </w:tc>
        <w:tc>
          <w:tcPr>
            <w:tcW w:w="1767" w:type="dxa"/>
          </w:tcPr>
          <w:p w14:paraId="543AAFEE" w14:textId="6D430F34" w:rsidR="00000186" w:rsidRPr="00E91D26" w:rsidRDefault="00000186" w:rsidP="00000186">
            <w:pPr>
              <w:ind w:right="432"/>
              <w:jc w:val="right"/>
              <w:rPr>
                <w:rFonts w:cstheme="minorHAnsi"/>
              </w:rPr>
            </w:pPr>
            <w:r w:rsidRPr="00E91D26">
              <w:rPr>
                <w:rFonts w:cstheme="minorHAnsi"/>
              </w:rPr>
              <w:t>16,</w:t>
            </w:r>
            <w:r w:rsidR="00AE21B4">
              <w:rPr>
                <w:rFonts w:cstheme="minorHAnsi"/>
              </w:rPr>
              <w:t>185</w:t>
            </w:r>
          </w:p>
        </w:tc>
        <w:tc>
          <w:tcPr>
            <w:tcW w:w="1710" w:type="dxa"/>
          </w:tcPr>
          <w:p w14:paraId="6A7C1D38" w14:textId="77777777" w:rsidR="00000186" w:rsidRPr="00E91D26" w:rsidRDefault="00000186" w:rsidP="00000186">
            <w:pPr>
              <w:ind w:right="432"/>
              <w:jc w:val="right"/>
              <w:rPr>
                <w:rFonts w:cstheme="minorHAnsi"/>
              </w:rPr>
            </w:pPr>
            <w:r w:rsidRPr="00E91D26">
              <w:rPr>
                <w:rFonts w:cstheme="minorHAnsi"/>
              </w:rPr>
              <w:t>21,580</w:t>
            </w:r>
          </w:p>
        </w:tc>
        <w:tc>
          <w:tcPr>
            <w:tcW w:w="1438" w:type="dxa"/>
          </w:tcPr>
          <w:p w14:paraId="3679CC6E" w14:textId="77777777" w:rsidR="00000186" w:rsidRPr="00E91D26" w:rsidRDefault="00000186" w:rsidP="00000186">
            <w:pPr>
              <w:jc w:val="center"/>
              <w:rPr>
                <w:rFonts w:cstheme="minorHAnsi"/>
              </w:rPr>
            </w:pPr>
            <w:r w:rsidRPr="00E91D26">
              <w:rPr>
                <w:rFonts w:cstheme="minorHAnsi"/>
              </w:rPr>
              <w:t>Y</w:t>
            </w:r>
          </w:p>
        </w:tc>
        <w:tc>
          <w:tcPr>
            <w:tcW w:w="1438" w:type="dxa"/>
          </w:tcPr>
          <w:p w14:paraId="79A45EB1" w14:textId="77777777" w:rsidR="00000186" w:rsidRPr="00E91D26" w:rsidRDefault="00000186" w:rsidP="00000186">
            <w:pPr>
              <w:jc w:val="center"/>
              <w:rPr>
                <w:rFonts w:cstheme="minorHAnsi"/>
              </w:rPr>
            </w:pPr>
          </w:p>
        </w:tc>
        <w:tc>
          <w:tcPr>
            <w:tcW w:w="1439" w:type="dxa"/>
          </w:tcPr>
          <w:p w14:paraId="31D19820" w14:textId="77777777" w:rsidR="00000186" w:rsidRPr="00E91D26" w:rsidRDefault="00000186" w:rsidP="00000186">
            <w:pPr>
              <w:jc w:val="center"/>
              <w:rPr>
                <w:rFonts w:cstheme="minorHAnsi"/>
              </w:rPr>
            </w:pPr>
          </w:p>
        </w:tc>
      </w:tr>
      <w:tr w:rsidR="00000186" w:rsidRPr="00E91D26" w14:paraId="2CA99D78" w14:textId="77777777" w:rsidTr="00000186">
        <w:tc>
          <w:tcPr>
            <w:tcW w:w="1558" w:type="dxa"/>
          </w:tcPr>
          <w:p w14:paraId="4E4198C5" w14:textId="77777777" w:rsidR="00000186" w:rsidRPr="00E91D26" w:rsidRDefault="00000186" w:rsidP="00000186">
            <w:pPr>
              <w:rPr>
                <w:rFonts w:cstheme="minorHAnsi"/>
              </w:rPr>
            </w:pPr>
            <w:r w:rsidRPr="00E91D26">
              <w:rPr>
                <w:rFonts w:cstheme="minorHAnsi"/>
              </w:rPr>
              <w:t>Purdue</w:t>
            </w:r>
          </w:p>
        </w:tc>
        <w:tc>
          <w:tcPr>
            <w:tcW w:w="1767" w:type="dxa"/>
          </w:tcPr>
          <w:p w14:paraId="458E94DC" w14:textId="77777777" w:rsidR="00000186" w:rsidRPr="00E91D26" w:rsidRDefault="00000186" w:rsidP="00000186">
            <w:pPr>
              <w:ind w:right="432"/>
              <w:jc w:val="right"/>
              <w:rPr>
                <w:rFonts w:cstheme="minorHAnsi"/>
              </w:rPr>
            </w:pPr>
            <w:r w:rsidRPr="00E91D26">
              <w:rPr>
                <w:rFonts w:cstheme="minorHAnsi"/>
              </w:rPr>
              <w:t>15,448</w:t>
            </w:r>
          </w:p>
        </w:tc>
        <w:tc>
          <w:tcPr>
            <w:tcW w:w="1710" w:type="dxa"/>
          </w:tcPr>
          <w:p w14:paraId="09F186DB" w14:textId="77777777" w:rsidR="00000186" w:rsidRPr="00E91D26" w:rsidRDefault="00000186" w:rsidP="00000186">
            <w:pPr>
              <w:ind w:right="432"/>
              <w:jc w:val="right"/>
              <w:rPr>
                <w:rFonts w:cstheme="minorHAnsi"/>
              </w:rPr>
            </w:pPr>
            <w:r w:rsidRPr="00E91D26">
              <w:rPr>
                <w:rFonts w:cstheme="minorHAnsi"/>
              </w:rPr>
              <w:t>18,538</w:t>
            </w:r>
          </w:p>
        </w:tc>
        <w:tc>
          <w:tcPr>
            <w:tcW w:w="1438" w:type="dxa"/>
          </w:tcPr>
          <w:p w14:paraId="11CF2540" w14:textId="77777777" w:rsidR="00000186" w:rsidRPr="00E91D26" w:rsidRDefault="00000186" w:rsidP="00000186">
            <w:pPr>
              <w:jc w:val="center"/>
              <w:rPr>
                <w:rFonts w:cstheme="minorHAnsi"/>
              </w:rPr>
            </w:pPr>
          </w:p>
        </w:tc>
        <w:tc>
          <w:tcPr>
            <w:tcW w:w="1438" w:type="dxa"/>
          </w:tcPr>
          <w:p w14:paraId="52D4C9BD" w14:textId="77777777" w:rsidR="00000186" w:rsidRPr="00E91D26" w:rsidRDefault="00000186" w:rsidP="00000186">
            <w:pPr>
              <w:jc w:val="center"/>
              <w:rPr>
                <w:rFonts w:cstheme="minorHAnsi"/>
              </w:rPr>
            </w:pPr>
          </w:p>
        </w:tc>
        <w:tc>
          <w:tcPr>
            <w:tcW w:w="1439" w:type="dxa"/>
          </w:tcPr>
          <w:p w14:paraId="484C280F" w14:textId="77777777" w:rsidR="00000186" w:rsidRPr="00E91D26" w:rsidRDefault="00000186" w:rsidP="00000186">
            <w:pPr>
              <w:jc w:val="center"/>
              <w:rPr>
                <w:rFonts w:cstheme="minorHAnsi"/>
              </w:rPr>
            </w:pPr>
          </w:p>
        </w:tc>
      </w:tr>
      <w:tr w:rsidR="00000186" w:rsidRPr="00E91D26" w14:paraId="4A4B638A" w14:textId="77777777" w:rsidTr="00000186">
        <w:tc>
          <w:tcPr>
            <w:tcW w:w="1558" w:type="dxa"/>
          </w:tcPr>
          <w:p w14:paraId="020ACC28" w14:textId="77777777" w:rsidR="00000186" w:rsidRPr="00E91D26" w:rsidRDefault="00000186" w:rsidP="00000186">
            <w:pPr>
              <w:rPr>
                <w:rFonts w:cstheme="minorHAnsi"/>
              </w:rPr>
            </w:pPr>
            <w:r w:rsidRPr="00E91D26">
              <w:rPr>
                <w:rFonts w:cstheme="minorHAnsi"/>
              </w:rPr>
              <w:t>Minnesota</w:t>
            </w:r>
          </w:p>
        </w:tc>
        <w:tc>
          <w:tcPr>
            <w:tcW w:w="1767" w:type="dxa"/>
          </w:tcPr>
          <w:p w14:paraId="7346B98C" w14:textId="77777777" w:rsidR="00000186" w:rsidRPr="00E91D26" w:rsidRDefault="00000186" w:rsidP="00000186">
            <w:pPr>
              <w:ind w:right="432"/>
              <w:jc w:val="right"/>
              <w:rPr>
                <w:rFonts w:cstheme="minorHAnsi"/>
              </w:rPr>
            </w:pPr>
            <w:r w:rsidRPr="00E91D26">
              <w:rPr>
                <w:rFonts w:cstheme="minorHAnsi"/>
              </w:rPr>
              <w:t>15,343</w:t>
            </w:r>
          </w:p>
        </w:tc>
        <w:tc>
          <w:tcPr>
            <w:tcW w:w="1710" w:type="dxa"/>
          </w:tcPr>
          <w:p w14:paraId="7B4937B4" w14:textId="77777777" w:rsidR="00000186" w:rsidRPr="00E91D26" w:rsidRDefault="00000186" w:rsidP="00000186">
            <w:pPr>
              <w:ind w:right="432"/>
              <w:jc w:val="right"/>
              <w:rPr>
                <w:rFonts w:cstheme="minorHAnsi"/>
              </w:rPr>
            </w:pPr>
            <w:r w:rsidRPr="00E91D26">
              <w:rPr>
                <w:rFonts w:cstheme="minorHAnsi"/>
              </w:rPr>
              <w:t>20,456</w:t>
            </w:r>
          </w:p>
        </w:tc>
        <w:tc>
          <w:tcPr>
            <w:tcW w:w="1438" w:type="dxa"/>
          </w:tcPr>
          <w:p w14:paraId="42EAF14C" w14:textId="77777777" w:rsidR="00000186" w:rsidRPr="00E91D26" w:rsidRDefault="00000186" w:rsidP="00000186">
            <w:pPr>
              <w:jc w:val="center"/>
              <w:rPr>
                <w:rFonts w:cstheme="minorHAnsi"/>
              </w:rPr>
            </w:pPr>
          </w:p>
        </w:tc>
        <w:tc>
          <w:tcPr>
            <w:tcW w:w="1438" w:type="dxa"/>
          </w:tcPr>
          <w:p w14:paraId="4A37C2A8" w14:textId="77777777" w:rsidR="00000186" w:rsidRPr="00E91D26" w:rsidRDefault="00000186" w:rsidP="00000186">
            <w:pPr>
              <w:jc w:val="center"/>
              <w:rPr>
                <w:rFonts w:cstheme="minorHAnsi"/>
              </w:rPr>
            </w:pPr>
          </w:p>
        </w:tc>
        <w:tc>
          <w:tcPr>
            <w:tcW w:w="1439" w:type="dxa"/>
          </w:tcPr>
          <w:p w14:paraId="58337CE6" w14:textId="77777777" w:rsidR="00000186" w:rsidRPr="00E91D26" w:rsidRDefault="00000186" w:rsidP="00000186">
            <w:pPr>
              <w:jc w:val="center"/>
              <w:rPr>
                <w:rFonts w:cstheme="minorHAnsi"/>
              </w:rPr>
            </w:pPr>
          </w:p>
        </w:tc>
      </w:tr>
      <w:tr w:rsidR="00000186" w:rsidRPr="00E91D26" w14:paraId="0CBCCF48" w14:textId="77777777" w:rsidTr="00000186">
        <w:tc>
          <w:tcPr>
            <w:tcW w:w="1558" w:type="dxa"/>
          </w:tcPr>
          <w:p w14:paraId="493672C2" w14:textId="77777777" w:rsidR="00000186" w:rsidRPr="00E91D26" w:rsidRDefault="00000186" w:rsidP="00000186">
            <w:pPr>
              <w:rPr>
                <w:rFonts w:cstheme="minorHAnsi"/>
              </w:rPr>
            </w:pPr>
            <w:r w:rsidRPr="00E91D26">
              <w:rPr>
                <w:rFonts w:cstheme="minorHAnsi"/>
              </w:rPr>
              <w:t>Nebraska</w:t>
            </w:r>
          </w:p>
        </w:tc>
        <w:tc>
          <w:tcPr>
            <w:tcW w:w="1767" w:type="dxa"/>
          </w:tcPr>
          <w:p w14:paraId="48DD5D35" w14:textId="77777777" w:rsidR="00000186" w:rsidRPr="00E91D26" w:rsidRDefault="00000186" w:rsidP="00000186">
            <w:pPr>
              <w:ind w:right="432"/>
              <w:jc w:val="right"/>
              <w:rPr>
                <w:rFonts w:cstheme="minorHAnsi"/>
              </w:rPr>
            </w:pPr>
            <w:r w:rsidRPr="00E91D26">
              <w:rPr>
                <w:rFonts w:cstheme="minorHAnsi"/>
              </w:rPr>
              <w:t>10,000</w:t>
            </w:r>
          </w:p>
        </w:tc>
        <w:tc>
          <w:tcPr>
            <w:tcW w:w="1710" w:type="dxa"/>
          </w:tcPr>
          <w:p w14:paraId="6F4DA732" w14:textId="77777777" w:rsidR="00000186" w:rsidRPr="00E91D26" w:rsidRDefault="00000186" w:rsidP="00000186">
            <w:pPr>
              <w:ind w:right="432"/>
              <w:jc w:val="right"/>
              <w:rPr>
                <w:rFonts w:cstheme="minorHAnsi"/>
              </w:rPr>
            </w:pPr>
            <w:r w:rsidRPr="00E91D26">
              <w:rPr>
                <w:rFonts w:cstheme="minorHAnsi"/>
              </w:rPr>
              <w:t>13,333</w:t>
            </w:r>
          </w:p>
        </w:tc>
        <w:tc>
          <w:tcPr>
            <w:tcW w:w="1438" w:type="dxa"/>
          </w:tcPr>
          <w:p w14:paraId="11142D6A" w14:textId="77777777" w:rsidR="00000186" w:rsidRPr="00E91D26" w:rsidRDefault="00000186" w:rsidP="00000186">
            <w:pPr>
              <w:jc w:val="center"/>
              <w:rPr>
                <w:rFonts w:cstheme="minorHAnsi"/>
              </w:rPr>
            </w:pPr>
          </w:p>
        </w:tc>
        <w:tc>
          <w:tcPr>
            <w:tcW w:w="1438" w:type="dxa"/>
          </w:tcPr>
          <w:p w14:paraId="4E1F05E9" w14:textId="77777777" w:rsidR="00000186" w:rsidRPr="00E91D26" w:rsidRDefault="00000186" w:rsidP="00000186">
            <w:pPr>
              <w:jc w:val="center"/>
              <w:rPr>
                <w:rFonts w:cstheme="minorHAnsi"/>
              </w:rPr>
            </w:pPr>
          </w:p>
        </w:tc>
        <w:tc>
          <w:tcPr>
            <w:tcW w:w="1439" w:type="dxa"/>
          </w:tcPr>
          <w:p w14:paraId="1732A3A6" w14:textId="77777777" w:rsidR="00000186" w:rsidRPr="00E91D26" w:rsidRDefault="00000186" w:rsidP="00000186">
            <w:pPr>
              <w:jc w:val="center"/>
              <w:rPr>
                <w:rFonts w:cstheme="minorHAnsi"/>
              </w:rPr>
            </w:pPr>
          </w:p>
        </w:tc>
      </w:tr>
      <w:tr w:rsidR="00000186" w:rsidRPr="00E91D26" w14:paraId="2BAD0F33" w14:textId="77777777" w:rsidTr="00000186">
        <w:tc>
          <w:tcPr>
            <w:tcW w:w="1558" w:type="dxa"/>
          </w:tcPr>
          <w:p w14:paraId="4268A492" w14:textId="77777777" w:rsidR="00000186" w:rsidRPr="00E91D26" w:rsidRDefault="00000186" w:rsidP="00000186">
            <w:pPr>
              <w:rPr>
                <w:rFonts w:cstheme="minorHAnsi"/>
              </w:rPr>
            </w:pPr>
            <w:r w:rsidRPr="00E91D26">
              <w:rPr>
                <w:rFonts w:cstheme="minorHAnsi"/>
              </w:rPr>
              <w:t>Indiana</w:t>
            </w:r>
          </w:p>
        </w:tc>
        <w:tc>
          <w:tcPr>
            <w:tcW w:w="1767" w:type="dxa"/>
          </w:tcPr>
          <w:p w14:paraId="437E3D58" w14:textId="77777777" w:rsidR="00000186" w:rsidRPr="00E91D26" w:rsidRDefault="00000186" w:rsidP="00000186">
            <w:pPr>
              <w:ind w:right="432"/>
              <w:jc w:val="right"/>
              <w:rPr>
                <w:rFonts w:cstheme="minorHAnsi"/>
              </w:rPr>
            </w:pPr>
            <w:r w:rsidRPr="00E91D26">
              <w:rPr>
                <w:rFonts w:cstheme="minorHAnsi"/>
              </w:rPr>
              <w:t>9,</w:t>
            </w:r>
            <w:r>
              <w:rPr>
                <w:rFonts w:cstheme="minorHAnsi"/>
              </w:rPr>
              <w:t>910</w:t>
            </w:r>
          </w:p>
        </w:tc>
        <w:tc>
          <w:tcPr>
            <w:tcW w:w="1710" w:type="dxa"/>
          </w:tcPr>
          <w:p w14:paraId="5D043DAC" w14:textId="77777777" w:rsidR="00000186" w:rsidRPr="00E91D26" w:rsidRDefault="00000186" w:rsidP="00000186">
            <w:pPr>
              <w:ind w:right="432"/>
              <w:jc w:val="right"/>
              <w:rPr>
                <w:rFonts w:cstheme="minorHAnsi"/>
              </w:rPr>
            </w:pPr>
            <w:r w:rsidRPr="00E91D26">
              <w:rPr>
                <w:rFonts w:cstheme="minorHAnsi"/>
              </w:rPr>
              <w:t>11,</w:t>
            </w:r>
            <w:r>
              <w:rPr>
                <w:rFonts w:cstheme="minorHAnsi"/>
              </w:rPr>
              <w:t>892</w:t>
            </w:r>
          </w:p>
        </w:tc>
        <w:tc>
          <w:tcPr>
            <w:tcW w:w="1438" w:type="dxa"/>
          </w:tcPr>
          <w:p w14:paraId="06BECE1F" w14:textId="77777777" w:rsidR="00000186" w:rsidRPr="00E91D26" w:rsidRDefault="00000186" w:rsidP="00000186">
            <w:pPr>
              <w:jc w:val="center"/>
              <w:rPr>
                <w:rFonts w:cstheme="minorHAnsi"/>
              </w:rPr>
            </w:pPr>
          </w:p>
        </w:tc>
        <w:tc>
          <w:tcPr>
            <w:tcW w:w="1438" w:type="dxa"/>
          </w:tcPr>
          <w:p w14:paraId="60F63E8C" w14:textId="77777777" w:rsidR="00000186" w:rsidRPr="00E91D26" w:rsidRDefault="00000186" w:rsidP="00000186">
            <w:pPr>
              <w:jc w:val="center"/>
              <w:rPr>
                <w:rFonts w:cstheme="minorHAnsi"/>
              </w:rPr>
            </w:pPr>
          </w:p>
        </w:tc>
        <w:tc>
          <w:tcPr>
            <w:tcW w:w="1439" w:type="dxa"/>
          </w:tcPr>
          <w:p w14:paraId="61CA5F0B" w14:textId="77777777" w:rsidR="00000186" w:rsidRPr="00E91D26" w:rsidRDefault="00000186" w:rsidP="00000186">
            <w:pPr>
              <w:jc w:val="center"/>
              <w:rPr>
                <w:rFonts w:cstheme="minorHAnsi"/>
              </w:rPr>
            </w:pPr>
          </w:p>
        </w:tc>
      </w:tr>
      <w:tr w:rsidR="00000186" w14:paraId="47F9DCAF" w14:textId="77777777" w:rsidTr="00000186">
        <w:tc>
          <w:tcPr>
            <w:tcW w:w="9350" w:type="dxa"/>
            <w:gridSpan w:val="6"/>
            <w:tcBorders>
              <w:top w:val="single" w:sz="4" w:space="0" w:color="auto"/>
              <w:bottom w:val="single" w:sz="4" w:space="0" w:color="auto"/>
            </w:tcBorders>
          </w:tcPr>
          <w:p w14:paraId="292CE814" w14:textId="77777777" w:rsidR="00000186" w:rsidRDefault="00000186" w:rsidP="00000186">
            <w:pPr>
              <w:spacing w:before="240"/>
              <w:rPr>
                <w:rFonts w:cstheme="minorHAnsi"/>
                <w:sz w:val="18"/>
                <w:szCs w:val="20"/>
              </w:rPr>
            </w:pPr>
            <w:r w:rsidRPr="0089474A">
              <w:rPr>
                <w:rFonts w:cstheme="minorHAnsi"/>
                <w:sz w:val="18"/>
                <w:szCs w:val="20"/>
                <w:vertAlign w:val="superscript"/>
              </w:rPr>
              <w:t>1</w:t>
            </w:r>
            <w:r w:rsidRPr="0089474A">
              <w:rPr>
                <w:rFonts w:cstheme="minorHAnsi"/>
                <w:sz w:val="18"/>
                <w:szCs w:val="20"/>
              </w:rPr>
              <w:t>Standard appointment is 15 hours per week.</w:t>
            </w:r>
          </w:p>
          <w:p w14:paraId="3AD004DB" w14:textId="77777777" w:rsidR="00000186" w:rsidRPr="0089474A" w:rsidRDefault="00000186" w:rsidP="00000186">
            <w:pPr>
              <w:rPr>
                <w:rFonts w:cstheme="minorHAnsi"/>
                <w:sz w:val="18"/>
                <w:szCs w:val="20"/>
              </w:rPr>
            </w:pPr>
            <w:r w:rsidRPr="00E3629D">
              <w:rPr>
                <w:rFonts w:cstheme="minorHAnsi"/>
                <w:sz w:val="18"/>
                <w:szCs w:val="20"/>
                <w:vertAlign w:val="superscript"/>
              </w:rPr>
              <w:t>2</w:t>
            </w:r>
            <w:r>
              <w:rPr>
                <w:rFonts w:cstheme="minorHAnsi"/>
                <w:sz w:val="18"/>
                <w:szCs w:val="20"/>
              </w:rPr>
              <w:t>No minimum full-year stipend.</w:t>
            </w:r>
          </w:p>
          <w:p w14:paraId="59572B3C" w14:textId="77777777" w:rsidR="00000186" w:rsidRPr="0089474A" w:rsidRDefault="00000186" w:rsidP="00000186">
            <w:pPr>
              <w:rPr>
                <w:rFonts w:cstheme="minorHAnsi"/>
                <w:sz w:val="18"/>
                <w:szCs w:val="20"/>
              </w:rPr>
            </w:pPr>
            <w:r>
              <w:rPr>
                <w:rFonts w:cstheme="minorHAnsi"/>
                <w:sz w:val="18"/>
                <w:szCs w:val="20"/>
                <w:vertAlign w:val="superscript"/>
              </w:rPr>
              <w:t>3</w:t>
            </w:r>
            <w:r w:rsidRPr="0089474A">
              <w:rPr>
                <w:rFonts w:cstheme="minorHAnsi"/>
                <w:sz w:val="18"/>
                <w:szCs w:val="20"/>
              </w:rPr>
              <w:t xml:space="preserve">For 9.5-month appointments as of </w:t>
            </w:r>
            <w:r>
              <w:rPr>
                <w:rFonts w:cstheme="minorHAnsi"/>
                <w:sz w:val="18"/>
                <w:szCs w:val="20"/>
              </w:rPr>
              <w:t>1</w:t>
            </w:r>
            <w:r w:rsidRPr="0089474A">
              <w:rPr>
                <w:rFonts w:cstheme="minorHAnsi"/>
                <w:sz w:val="18"/>
                <w:szCs w:val="20"/>
              </w:rPr>
              <w:t>/1/</w:t>
            </w:r>
            <w:r>
              <w:rPr>
                <w:rFonts w:cstheme="minorHAnsi"/>
                <w:sz w:val="18"/>
                <w:szCs w:val="20"/>
              </w:rPr>
              <w:t>20</w:t>
            </w:r>
            <w:r w:rsidRPr="0089474A">
              <w:rPr>
                <w:rFonts w:cstheme="minorHAnsi"/>
                <w:sz w:val="18"/>
                <w:szCs w:val="20"/>
              </w:rPr>
              <w:t>. All TAs, and 6</w:t>
            </w:r>
            <w:r>
              <w:rPr>
                <w:rFonts w:cstheme="minorHAnsi"/>
                <w:sz w:val="18"/>
                <w:szCs w:val="20"/>
              </w:rPr>
              <w:t>8</w:t>
            </w:r>
            <w:r w:rsidRPr="0089474A">
              <w:rPr>
                <w:rFonts w:cstheme="minorHAnsi"/>
                <w:sz w:val="18"/>
                <w:szCs w:val="20"/>
              </w:rPr>
              <w:t>% of all academic-year GA appointments, are 9.5-month appointments.  The minimum stipend for 9-month appointments is $1</w:t>
            </w:r>
            <w:r>
              <w:rPr>
                <w:rFonts w:cstheme="minorHAnsi"/>
                <w:sz w:val="18"/>
                <w:szCs w:val="20"/>
              </w:rPr>
              <w:t>7,980</w:t>
            </w:r>
            <w:r w:rsidRPr="0089474A">
              <w:rPr>
                <w:rFonts w:cstheme="minorHAnsi"/>
                <w:sz w:val="18"/>
                <w:szCs w:val="20"/>
              </w:rPr>
              <w:t>.</w:t>
            </w:r>
          </w:p>
          <w:p w14:paraId="0022894C" w14:textId="77777777" w:rsidR="00000186" w:rsidRDefault="00000186" w:rsidP="00000186">
            <w:pPr>
              <w:rPr>
                <w:rFonts w:cstheme="minorHAnsi"/>
              </w:rPr>
            </w:pPr>
            <w:r>
              <w:rPr>
                <w:rFonts w:cstheme="minorHAnsi"/>
                <w:sz w:val="18"/>
                <w:szCs w:val="20"/>
                <w:vertAlign w:val="superscript"/>
              </w:rPr>
              <w:t>4</w:t>
            </w:r>
            <w:r w:rsidRPr="0089474A">
              <w:rPr>
                <w:rFonts w:cstheme="minorHAnsi"/>
                <w:sz w:val="18"/>
                <w:szCs w:val="20"/>
              </w:rPr>
              <w:t xml:space="preserve">For TA.  The minimum academic-year stipend for non-union </w:t>
            </w:r>
            <w:r>
              <w:rPr>
                <w:rFonts w:cstheme="minorHAnsi"/>
                <w:sz w:val="18"/>
                <w:szCs w:val="20"/>
              </w:rPr>
              <w:t>A</w:t>
            </w:r>
            <w:r w:rsidRPr="0089474A">
              <w:rPr>
                <w:rFonts w:cstheme="minorHAnsi"/>
                <w:sz w:val="18"/>
                <w:szCs w:val="20"/>
              </w:rPr>
              <w:t>A</w:t>
            </w:r>
            <w:r>
              <w:rPr>
                <w:rFonts w:cstheme="minorHAnsi"/>
                <w:sz w:val="18"/>
                <w:szCs w:val="20"/>
              </w:rPr>
              <w:t>s</w:t>
            </w:r>
            <w:r w:rsidRPr="0089474A">
              <w:rPr>
                <w:rFonts w:cstheme="minorHAnsi"/>
                <w:sz w:val="18"/>
                <w:szCs w:val="20"/>
              </w:rPr>
              <w:t xml:space="preserve"> and </w:t>
            </w:r>
            <w:r>
              <w:rPr>
                <w:rFonts w:cstheme="minorHAnsi"/>
                <w:sz w:val="18"/>
                <w:szCs w:val="20"/>
              </w:rPr>
              <w:t>R</w:t>
            </w:r>
            <w:r w:rsidRPr="0089474A">
              <w:rPr>
                <w:rFonts w:cstheme="minorHAnsi"/>
                <w:sz w:val="18"/>
                <w:szCs w:val="20"/>
              </w:rPr>
              <w:t>A</w:t>
            </w:r>
            <w:r>
              <w:rPr>
                <w:rFonts w:cstheme="minorHAnsi"/>
                <w:sz w:val="18"/>
                <w:szCs w:val="20"/>
              </w:rPr>
              <w:t>s</w:t>
            </w:r>
            <w:r w:rsidRPr="0089474A">
              <w:rPr>
                <w:rFonts w:cstheme="minorHAnsi"/>
                <w:sz w:val="18"/>
                <w:szCs w:val="20"/>
              </w:rPr>
              <w:t xml:space="preserve"> is $13,8</w:t>
            </w:r>
            <w:r>
              <w:rPr>
                <w:rFonts w:cstheme="minorHAnsi"/>
                <w:sz w:val="18"/>
                <w:szCs w:val="20"/>
              </w:rPr>
              <w:t>95</w:t>
            </w:r>
            <w:r w:rsidRPr="0089474A">
              <w:rPr>
                <w:rFonts w:cstheme="minorHAnsi"/>
                <w:sz w:val="18"/>
                <w:szCs w:val="20"/>
              </w:rPr>
              <w:t>.</w:t>
            </w:r>
          </w:p>
        </w:tc>
      </w:tr>
    </w:tbl>
    <w:p w14:paraId="579408A1" w14:textId="77777777" w:rsidR="00000186" w:rsidRPr="0089474A" w:rsidRDefault="00000186" w:rsidP="00000186">
      <w:pPr>
        <w:rPr>
          <w:rFonts w:asciiTheme="minorHAnsi" w:hAnsiTheme="minorHAnsi" w:cstheme="minorHAnsi"/>
        </w:rPr>
      </w:pPr>
      <w:bookmarkStart w:id="0" w:name="_GoBack"/>
    </w:p>
    <w:bookmarkEnd w:id="0"/>
    <w:p w14:paraId="651BF5A8" w14:textId="77777777" w:rsidR="00000186" w:rsidRDefault="00000186" w:rsidP="007D130E">
      <w:pPr>
        <w:spacing w:after="120"/>
        <w:jc w:val="center"/>
      </w:pPr>
    </w:p>
    <w:p w14:paraId="7CAC20D1" w14:textId="77777777" w:rsidR="00000186" w:rsidRPr="0089474A" w:rsidRDefault="00000186" w:rsidP="00000186">
      <w:pPr>
        <w:jc w:val="center"/>
        <w:rPr>
          <w:rFonts w:asciiTheme="minorHAnsi" w:hAnsiTheme="minorHAnsi" w:cstheme="minorHAnsi"/>
          <w:b/>
        </w:rPr>
      </w:pPr>
      <w:r w:rsidRPr="0089474A">
        <w:rPr>
          <w:rFonts w:asciiTheme="minorHAnsi" w:hAnsiTheme="minorHAnsi" w:cstheme="minorHAnsi"/>
          <w:b/>
        </w:rPr>
        <w:t xml:space="preserve">Average Cost of Attendance </w:t>
      </w:r>
      <w:r>
        <w:rPr>
          <w:rFonts w:asciiTheme="minorHAnsi" w:hAnsiTheme="minorHAnsi" w:cstheme="minorHAnsi"/>
          <w:b/>
        </w:rPr>
        <w:t xml:space="preserve">and Average Stipend, </w:t>
      </w:r>
      <w:r w:rsidRPr="0089474A">
        <w:rPr>
          <w:rFonts w:asciiTheme="minorHAnsi" w:hAnsiTheme="minorHAnsi" w:cstheme="minorHAnsi"/>
          <w:b/>
        </w:rPr>
        <w:t>AY1</w:t>
      </w:r>
      <w:r>
        <w:rPr>
          <w:rFonts w:asciiTheme="minorHAnsi" w:hAnsiTheme="minorHAnsi" w:cstheme="minorHAnsi"/>
          <w:b/>
        </w:rPr>
        <w:t>9</w:t>
      </w:r>
      <w:r w:rsidRPr="0089474A">
        <w:rPr>
          <w:rFonts w:asciiTheme="minorHAnsi" w:hAnsiTheme="minorHAnsi" w:cstheme="minorHAnsi"/>
          <w:b/>
        </w:rPr>
        <w:t>-</w:t>
      </w:r>
      <w:r>
        <w:rPr>
          <w:rFonts w:asciiTheme="minorHAnsi" w:hAnsiTheme="minorHAnsi" w:cstheme="minorHAnsi"/>
          <w:b/>
        </w:rPr>
        <w:t>20 (9 months</w:t>
      </w:r>
      <w:r w:rsidRPr="0089474A">
        <w:rPr>
          <w:rFonts w:asciiTheme="minorHAnsi" w:hAnsiTheme="minorHAnsi" w:cstheme="minorHAnsi"/>
          <w:b/>
        </w:rPr>
        <w:t>)</w:t>
      </w:r>
    </w:p>
    <w:p w14:paraId="7273FC9E" w14:textId="77777777" w:rsidR="00000186" w:rsidRPr="0089474A" w:rsidRDefault="00000186" w:rsidP="00000186">
      <w:pPr>
        <w:rPr>
          <w:rFonts w:asciiTheme="minorHAnsi" w:hAnsiTheme="minorHAnsi" w:cstheme="minorHAnsi"/>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160"/>
        <w:gridCol w:w="2160"/>
      </w:tblGrid>
      <w:tr w:rsidR="00000186" w:rsidRPr="0089474A" w14:paraId="3590C465" w14:textId="77777777" w:rsidTr="00000186">
        <w:trPr>
          <w:jc w:val="center"/>
        </w:trPr>
        <w:tc>
          <w:tcPr>
            <w:tcW w:w="4135" w:type="dxa"/>
            <w:tcBorders>
              <w:top w:val="single" w:sz="4" w:space="0" w:color="auto"/>
              <w:bottom w:val="single" w:sz="4" w:space="0" w:color="auto"/>
            </w:tcBorders>
            <w:vAlign w:val="bottom"/>
          </w:tcPr>
          <w:p w14:paraId="66AF1BA1" w14:textId="77777777" w:rsidR="00000186" w:rsidRPr="0089474A" w:rsidRDefault="00000186" w:rsidP="00000186">
            <w:pPr>
              <w:rPr>
                <w:rFonts w:cstheme="minorHAnsi"/>
                <w:b/>
              </w:rPr>
            </w:pPr>
            <w:r w:rsidRPr="0089474A">
              <w:rPr>
                <w:rFonts w:cstheme="minorHAnsi"/>
                <w:b/>
              </w:rPr>
              <w:t>Cost</w:t>
            </w:r>
          </w:p>
        </w:tc>
        <w:tc>
          <w:tcPr>
            <w:tcW w:w="2160" w:type="dxa"/>
            <w:tcBorders>
              <w:top w:val="single" w:sz="4" w:space="0" w:color="auto"/>
              <w:bottom w:val="single" w:sz="4" w:space="0" w:color="auto"/>
            </w:tcBorders>
            <w:vAlign w:val="bottom"/>
          </w:tcPr>
          <w:p w14:paraId="66C3CE6C" w14:textId="77777777" w:rsidR="00000186" w:rsidRPr="0089474A" w:rsidRDefault="00000186" w:rsidP="00000186">
            <w:pPr>
              <w:jc w:val="center"/>
              <w:rPr>
                <w:rFonts w:cstheme="minorHAnsi"/>
                <w:b/>
              </w:rPr>
            </w:pPr>
            <w:r w:rsidRPr="0089474A">
              <w:rPr>
                <w:rFonts w:cstheme="minorHAnsi"/>
                <w:b/>
              </w:rPr>
              <w:t>Graduate Student</w:t>
            </w:r>
          </w:p>
        </w:tc>
        <w:tc>
          <w:tcPr>
            <w:tcW w:w="2160" w:type="dxa"/>
            <w:tcBorders>
              <w:top w:val="single" w:sz="4" w:space="0" w:color="auto"/>
              <w:bottom w:val="single" w:sz="4" w:space="0" w:color="auto"/>
            </w:tcBorders>
            <w:vAlign w:val="bottom"/>
          </w:tcPr>
          <w:p w14:paraId="00D2E466" w14:textId="77777777" w:rsidR="00000186" w:rsidRPr="0089474A" w:rsidRDefault="00000186" w:rsidP="00000186">
            <w:pPr>
              <w:jc w:val="center"/>
              <w:rPr>
                <w:rFonts w:cstheme="minorHAnsi"/>
                <w:b/>
              </w:rPr>
            </w:pPr>
            <w:r w:rsidRPr="0089474A">
              <w:rPr>
                <w:rFonts w:cstheme="minorHAnsi"/>
                <w:b/>
              </w:rPr>
              <w:t>Graduate Assistant</w:t>
            </w:r>
          </w:p>
        </w:tc>
      </w:tr>
      <w:tr w:rsidR="00000186" w:rsidRPr="005A7EED" w14:paraId="6AC24539" w14:textId="77777777" w:rsidTr="00000186">
        <w:trPr>
          <w:jc w:val="center"/>
        </w:trPr>
        <w:tc>
          <w:tcPr>
            <w:tcW w:w="4135" w:type="dxa"/>
            <w:tcBorders>
              <w:top w:val="single" w:sz="4" w:space="0" w:color="auto"/>
              <w:bottom w:val="nil"/>
            </w:tcBorders>
          </w:tcPr>
          <w:p w14:paraId="0DCB1809" w14:textId="77777777" w:rsidR="00000186" w:rsidRPr="005A7EED" w:rsidRDefault="00000186" w:rsidP="00000186">
            <w:pPr>
              <w:rPr>
                <w:rFonts w:cstheme="minorHAnsi"/>
              </w:rPr>
            </w:pPr>
            <w:r>
              <w:rPr>
                <w:rFonts w:cstheme="minorHAnsi"/>
              </w:rPr>
              <w:t>T</w:t>
            </w:r>
            <w:r w:rsidRPr="005A7EED">
              <w:rPr>
                <w:rFonts w:cstheme="minorHAnsi"/>
              </w:rPr>
              <w:t>uition</w:t>
            </w:r>
            <w:r>
              <w:rPr>
                <w:rFonts w:cstheme="minorHAnsi"/>
              </w:rPr>
              <w:t xml:space="preserve"> (10 credits/semester)</w:t>
            </w:r>
          </w:p>
        </w:tc>
        <w:tc>
          <w:tcPr>
            <w:tcW w:w="2160" w:type="dxa"/>
            <w:tcBorders>
              <w:top w:val="single" w:sz="4" w:space="0" w:color="auto"/>
              <w:bottom w:val="nil"/>
            </w:tcBorders>
          </w:tcPr>
          <w:p w14:paraId="4365B8D5" w14:textId="77777777" w:rsidR="00000186" w:rsidRPr="005A7EED" w:rsidRDefault="00000186" w:rsidP="00000186">
            <w:pPr>
              <w:ind w:right="576"/>
              <w:jc w:val="right"/>
              <w:rPr>
                <w:rFonts w:cstheme="minorHAnsi"/>
              </w:rPr>
            </w:pPr>
            <w:r w:rsidRPr="005A7EED">
              <w:rPr>
                <w:rFonts w:cstheme="minorHAnsi"/>
              </w:rPr>
              <w:t>$</w:t>
            </w:r>
            <w:r>
              <w:rPr>
                <w:rFonts w:cstheme="minorHAnsi"/>
              </w:rPr>
              <w:t>32,500</w:t>
            </w:r>
          </w:p>
        </w:tc>
        <w:tc>
          <w:tcPr>
            <w:tcW w:w="2160" w:type="dxa"/>
            <w:tcBorders>
              <w:top w:val="single" w:sz="4" w:space="0" w:color="auto"/>
              <w:bottom w:val="nil"/>
            </w:tcBorders>
          </w:tcPr>
          <w:p w14:paraId="3070999F" w14:textId="77777777" w:rsidR="00000186" w:rsidRPr="005A7EED" w:rsidRDefault="00000186" w:rsidP="00000186">
            <w:pPr>
              <w:jc w:val="center"/>
              <w:rPr>
                <w:rFonts w:cstheme="minorHAnsi"/>
              </w:rPr>
            </w:pPr>
            <w:r w:rsidRPr="005A7EED">
              <w:rPr>
                <w:rFonts w:cstheme="minorHAnsi"/>
              </w:rPr>
              <w:t>—</w:t>
            </w:r>
          </w:p>
        </w:tc>
      </w:tr>
      <w:tr w:rsidR="00000186" w:rsidRPr="005A7EED" w14:paraId="69F61656" w14:textId="77777777" w:rsidTr="00000186">
        <w:trPr>
          <w:jc w:val="center"/>
        </w:trPr>
        <w:tc>
          <w:tcPr>
            <w:tcW w:w="4135" w:type="dxa"/>
            <w:tcBorders>
              <w:top w:val="nil"/>
              <w:bottom w:val="nil"/>
            </w:tcBorders>
          </w:tcPr>
          <w:p w14:paraId="39E67B17" w14:textId="77777777" w:rsidR="00000186" w:rsidRPr="005A7EED" w:rsidRDefault="00000186" w:rsidP="00000186">
            <w:pPr>
              <w:rPr>
                <w:rFonts w:cstheme="minorHAnsi"/>
              </w:rPr>
            </w:pPr>
            <w:r w:rsidRPr="005A7EED">
              <w:rPr>
                <w:rFonts w:cstheme="minorHAnsi"/>
              </w:rPr>
              <w:t>Mandatory fees</w:t>
            </w:r>
          </w:p>
        </w:tc>
        <w:tc>
          <w:tcPr>
            <w:tcW w:w="2160" w:type="dxa"/>
            <w:tcBorders>
              <w:top w:val="nil"/>
              <w:bottom w:val="nil"/>
            </w:tcBorders>
          </w:tcPr>
          <w:p w14:paraId="5A0D03F6" w14:textId="77777777" w:rsidR="00000186" w:rsidRPr="005A7EED" w:rsidRDefault="00000186" w:rsidP="00000186">
            <w:pPr>
              <w:ind w:right="576"/>
              <w:jc w:val="right"/>
              <w:rPr>
                <w:rFonts w:cstheme="minorHAnsi"/>
              </w:rPr>
            </w:pPr>
            <w:r w:rsidRPr="005A7EED">
              <w:rPr>
                <w:rFonts w:cstheme="minorHAnsi"/>
              </w:rPr>
              <w:t>$1,635</w:t>
            </w:r>
          </w:p>
        </w:tc>
        <w:tc>
          <w:tcPr>
            <w:tcW w:w="2160" w:type="dxa"/>
            <w:tcBorders>
              <w:top w:val="nil"/>
              <w:bottom w:val="nil"/>
            </w:tcBorders>
          </w:tcPr>
          <w:p w14:paraId="405DCFB5" w14:textId="77777777" w:rsidR="00000186" w:rsidRPr="005A7EED" w:rsidRDefault="00000186" w:rsidP="00000186">
            <w:pPr>
              <w:ind w:right="648"/>
              <w:jc w:val="right"/>
              <w:rPr>
                <w:rFonts w:cstheme="minorHAnsi"/>
              </w:rPr>
            </w:pPr>
            <w:r w:rsidRPr="005A7EED">
              <w:rPr>
                <w:rFonts w:cstheme="minorHAnsi"/>
              </w:rPr>
              <w:t>$1,635</w:t>
            </w:r>
          </w:p>
        </w:tc>
      </w:tr>
      <w:tr w:rsidR="00000186" w:rsidRPr="005A7EED" w14:paraId="1CA60234" w14:textId="77777777" w:rsidTr="00000186">
        <w:trPr>
          <w:jc w:val="center"/>
        </w:trPr>
        <w:tc>
          <w:tcPr>
            <w:tcW w:w="4135" w:type="dxa"/>
            <w:tcBorders>
              <w:top w:val="nil"/>
            </w:tcBorders>
          </w:tcPr>
          <w:p w14:paraId="20C3DB4D" w14:textId="77777777" w:rsidR="00000186" w:rsidRPr="005A7EED" w:rsidRDefault="00000186" w:rsidP="00000186">
            <w:pPr>
              <w:rPr>
                <w:rFonts w:cstheme="minorHAnsi"/>
              </w:rPr>
            </w:pPr>
            <w:r w:rsidRPr="005A7EED">
              <w:rPr>
                <w:rFonts w:cstheme="minorHAnsi"/>
              </w:rPr>
              <w:t>Off-campus rent</w:t>
            </w:r>
            <w:r>
              <w:rPr>
                <w:rFonts w:cstheme="minorHAnsi"/>
              </w:rPr>
              <w:t xml:space="preserve"> and </w:t>
            </w:r>
            <w:r w:rsidRPr="005A7EED">
              <w:rPr>
                <w:rFonts w:cstheme="minorHAnsi"/>
              </w:rPr>
              <w:t>utilities</w:t>
            </w:r>
          </w:p>
        </w:tc>
        <w:tc>
          <w:tcPr>
            <w:tcW w:w="2160" w:type="dxa"/>
            <w:tcBorders>
              <w:top w:val="nil"/>
            </w:tcBorders>
          </w:tcPr>
          <w:p w14:paraId="14C0EEB2" w14:textId="77777777" w:rsidR="00000186" w:rsidRPr="005A7EED" w:rsidRDefault="00000186" w:rsidP="00000186">
            <w:pPr>
              <w:ind w:right="576"/>
              <w:jc w:val="right"/>
              <w:rPr>
                <w:rFonts w:cstheme="minorHAnsi"/>
              </w:rPr>
            </w:pPr>
            <w:r w:rsidRPr="005A7EED">
              <w:rPr>
                <w:rFonts w:cstheme="minorHAnsi"/>
              </w:rPr>
              <w:t>$</w:t>
            </w:r>
            <w:r>
              <w:rPr>
                <w:rFonts w:cstheme="minorHAnsi"/>
              </w:rPr>
              <w:t>9,314</w:t>
            </w:r>
          </w:p>
        </w:tc>
        <w:tc>
          <w:tcPr>
            <w:tcW w:w="2160" w:type="dxa"/>
            <w:tcBorders>
              <w:top w:val="nil"/>
            </w:tcBorders>
          </w:tcPr>
          <w:p w14:paraId="4891CE59" w14:textId="77777777" w:rsidR="00000186" w:rsidRPr="005A7EED" w:rsidRDefault="00000186" w:rsidP="00000186">
            <w:pPr>
              <w:ind w:right="648"/>
              <w:jc w:val="right"/>
              <w:rPr>
                <w:rFonts w:cstheme="minorHAnsi"/>
              </w:rPr>
            </w:pPr>
            <w:r w:rsidRPr="005A7EED">
              <w:rPr>
                <w:rFonts w:cstheme="minorHAnsi"/>
              </w:rPr>
              <w:t>$</w:t>
            </w:r>
            <w:r>
              <w:rPr>
                <w:rFonts w:cstheme="minorHAnsi"/>
              </w:rPr>
              <w:t>9,314</w:t>
            </w:r>
          </w:p>
        </w:tc>
      </w:tr>
      <w:tr w:rsidR="00000186" w:rsidRPr="005A7EED" w14:paraId="6C8E760F" w14:textId="77777777" w:rsidTr="00000186">
        <w:trPr>
          <w:jc w:val="center"/>
        </w:trPr>
        <w:tc>
          <w:tcPr>
            <w:tcW w:w="4135" w:type="dxa"/>
          </w:tcPr>
          <w:p w14:paraId="27AF3E83" w14:textId="77777777" w:rsidR="00000186" w:rsidRPr="005A7EED" w:rsidRDefault="00000186" w:rsidP="00000186">
            <w:pPr>
              <w:rPr>
                <w:rFonts w:cstheme="minorHAnsi"/>
              </w:rPr>
            </w:pPr>
            <w:r>
              <w:rPr>
                <w:rFonts w:cstheme="minorHAnsi"/>
              </w:rPr>
              <w:t>Food and meals</w:t>
            </w:r>
          </w:p>
        </w:tc>
        <w:tc>
          <w:tcPr>
            <w:tcW w:w="2160" w:type="dxa"/>
          </w:tcPr>
          <w:p w14:paraId="08FDF538" w14:textId="77777777" w:rsidR="00000186" w:rsidRPr="005A7EED" w:rsidRDefault="00000186" w:rsidP="00000186">
            <w:pPr>
              <w:ind w:right="576"/>
              <w:jc w:val="right"/>
              <w:rPr>
                <w:rFonts w:cstheme="minorHAnsi"/>
              </w:rPr>
            </w:pPr>
            <w:r>
              <w:rPr>
                <w:rFonts w:cstheme="minorHAnsi"/>
              </w:rPr>
              <w:t>$5,120</w:t>
            </w:r>
          </w:p>
        </w:tc>
        <w:tc>
          <w:tcPr>
            <w:tcW w:w="2160" w:type="dxa"/>
          </w:tcPr>
          <w:p w14:paraId="11B51FB7" w14:textId="77777777" w:rsidR="00000186" w:rsidRPr="005A7EED" w:rsidRDefault="00000186" w:rsidP="00000186">
            <w:pPr>
              <w:ind w:right="648"/>
              <w:jc w:val="right"/>
              <w:rPr>
                <w:rFonts w:cstheme="minorHAnsi"/>
              </w:rPr>
            </w:pPr>
            <w:r>
              <w:rPr>
                <w:rFonts w:cstheme="minorHAnsi"/>
              </w:rPr>
              <w:t>$5,120</w:t>
            </w:r>
          </w:p>
        </w:tc>
      </w:tr>
      <w:tr w:rsidR="00000186" w:rsidRPr="005A7EED" w14:paraId="64009CB3" w14:textId="77777777" w:rsidTr="00000186">
        <w:trPr>
          <w:jc w:val="center"/>
        </w:trPr>
        <w:tc>
          <w:tcPr>
            <w:tcW w:w="4135" w:type="dxa"/>
          </w:tcPr>
          <w:p w14:paraId="305421B3" w14:textId="77777777" w:rsidR="00000186" w:rsidRPr="005A7EED" w:rsidRDefault="00000186" w:rsidP="00000186">
            <w:pPr>
              <w:rPr>
                <w:rFonts w:cstheme="minorHAnsi"/>
              </w:rPr>
            </w:pPr>
            <w:r w:rsidRPr="005A7EED">
              <w:rPr>
                <w:rFonts w:cstheme="minorHAnsi"/>
              </w:rPr>
              <w:t>Personal expenses</w:t>
            </w:r>
          </w:p>
        </w:tc>
        <w:tc>
          <w:tcPr>
            <w:tcW w:w="2160" w:type="dxa"/>
          </w:tcPr>
          <w:p w14:paraId="269D9A6F" w14:textId="77777777" w:rsidR="00000186" w:rsidRPr="005A7EED" w:rsidRDefault="00000186" w:rsidP="00000186">
            <w:pPr>
              <w:ind w:right="576"/>
              <w:jc w:val="right"/>
              <w:rPr>
                <w:rFonts w:cstheme="minorHAnsi"/>
              </w:rPr>
            </w:pPr>
            <w:r w:rsidRPr="005A7EED">
              <w:rPr>
                <w:rFonts w:cstheme="minorHAnsi"/>
              </w:rPr>
              <w:t>$1,144</w:t>
            </w:r>
          </w:p>
        </w:tc>
        <w:tc>
          <w:tcPr>
            <w:tcW w:w="2160" w:type="dxa"/>
          </w:tcPr>
          <w:p w14:paraId="073A55F7" w14:textId="77777777" w:rsidR="00000186" w:rsidRPr="005A7EED" w:rsidRDefault="00000186" w:rsidP="00000186">
            <w:pPr>
              <w:ind w:right="648"/>
              <w:jc w:val="right"/>
              <w:rPr>
                <w:rFonts w:cstheme="minorHAnsi"/>
              </w:rPr>
            </w:pPr>
            <w:r w:rsidRPr="005A7EED">
              <w:rPr>
                <w:rFonts w:cstheme="minorHAnsi"/>
              </w:rPr>
              <w:t>$1,144</w:t>
            </w:r>
          </w:p>
        </w:tc>
      </w:tr>
      <w:tr w:rsidR="00000186" w:rsidRPr="005A7EED" w14:paraId="28E05F1C" w14:textId="77777777" w:rsidTr="00000186">
        <w:trPr>
          <w:jc w:val="center"/>
        </w:trPr>
        <w:tc>
          <w:tcPr>
            <w:tcW w:w="4135" w:type="dxa"/>
          </w:tcPr>
          <w:p w14:paraId="0688732C" w14:textId="77777777" w:rsidR="00000186" w:rsidRPr="005A7EED" w:rsidRDefault="00000186" w:rsidP="00000186">
            <w:pPr>
              <w:rPr>
                <w:rFonts w:cstheme="minorHAnsi"/>
              </w:rPr>
            </w:pPr>
            <w:r w:rsidRPr="005A7EED">
              <w:rPr>
                <w:rFonts w:cstheme="minorHAnsi"/>
              </w:rPr>
              <w:t>Books and supplies</w:t>
            </w:r>
          </w:p>
        </w:tc>
        <w:tc>
          <w:tcPr>
            <w:tcW w:w="2160" w:type="dxa"/>
          </w:tcPr>
          <w:p w14:paraId="3BB700ED" w14:textId="77777777" w:rsidR="00000186" w:rsidRPr="005A7EED" w:rsidRDefault="00000186" w:rsidP="00000186">
            <w:pPr>
              <w:ind w:right="576"/>
              <w:jc w:val="right"/>
              <w:rPr>
                <w:rFonts w:cstheme="minorHAnsi"/>
              </w:rPr>
            </w:pPr>
            <w:r w:rsidRPr="005A7EED">
              <w:rPr>
                <w:rFonts w:cstheme="minorHAnsi"/>
              </w:rPr>
              <w:t>$624</w:t>
            </w:r>
          </w:p>
        </w:tc>
        <w:tc>
          <w:tcPr>
            <w:tcW w:w="2160" w:type="dxa"/>
          </w:tcPr>
          <w:p w14:paraId="76AB68CC" w14:textId="77777777" w:rsidR="00000186" w:rsidRPr="005A7EED" w:rsidRDefault="00000186" w:rsidP="00000186">
            <w:pPr>
              <w:ind w:right="648"/>
              <w:jc w:val="right"/>
              <w:rPr>
                <w:rFonts w:cstheme="minorHAnsi"/>
              </w:rPr>
            </w:pPr>
            <w:r w:rsidRPr="005A7EED">
              <w:rPr>
                <w:rFonts w:cstheme="minorHAnsi"/>
              </w:rPr>
              <w:t>$624</w:t>
            </w:r>
          </w:p>
        </w:tc>
      </w:tr>
      <w:tr w:rsidR="007E0D45" w:rsidRPr="005A7EED" w14:paraId="2837B327" w14:textId="77777777" w:rsidTr="00000186">
        <w:trPr>
          <w:jc w:val="center"/>
        </w:trPr>
        <w:tc>
          <w:tcPr>
            <w:tcW w:w="4135" w:type="dxa"/>
          </w:tcPr>
          <w:p w14:paraId="1D569402" w14:textId="3ACAED89" w:rsidR="007E0D45" w:rsidRPr="005A7EED" w:rsidRDefault="007E0D45" w:rsidP="00000186">
            <w:pPr>
              <w:rPr>
                <w:rFonts w:cstheme="minorHAnsi"/>
              </w:rPr>
            </w:pPr>
            <w:r>
              <w:rPr>
                <w:rFonts w:cstheme="minorHAnsi"/>
              </w:rPr>
              <w:t>Heath insurance</w:t>
            </w:r>
          </w:p>
        </w:tc>
        <w:tc>
          <w:tcPr>
            <w:tcW w:w="2160" w:type="dxa"/>
          </w:tcPr>
          <w:p w14:paraId="1D78DBE2" w14:textId="117DF565" w:rsidR="007E0D45" w:rsidRPr="005A7EED" w:rsidRDefault="007E0D45" w:rsidP="00000186">
            <w:pPr>
              <w:ind w:right="576"/>
              <w:jc w:val="right"/>
              <w:rPr>
                <w:rFonts w:cstheme="minorHAnsi"/>
              </w:rPr>
            </w:pPr>
            <w:r>
              <w:rPr>
                <w:rFonts w:cstheme="minorHAnsi"/>
              </w:rPr>
              <w:t>$1,298</w:t>
            </w:r>
          </w:p>
        </w:tc>
        <w:tc>
          <w:tcPr>
            <w:tcW w:w="2160" w:type="dxa"/>
          </w:tcPr>
          <w:p w14:paraId="409827B2" w14:textId="53C4A96E" w:rsidR="007E0D45" w:rsidRPr="005A7EED" w:rsidRDefault="007E0D45" w:rsidP="00000186">
            <w:pPr>
              <w:ind w:right="648"/>
              <w:jc w:val="right"/>
              <w:rPr>
                <w:rFonts w:cstheme="minorHAnsi"/>
              </w:rPr>
            </w:pPr>
            <w:r>
              <w:rPr>
                <w:rFonts w:cstheme="minorHAnsi"/>
              </w:rPr>
              <w:t>$572</w:t>
            </w:r>
          </w:p>
        </w:tc>
      </w:tr>
      <w:tr w:rsidR="00000186" w:rsidRPr="005A7EED" w14:paraId="615661D4" w14:textId="77777777" w:rsidTr="00000186">
        <w:trPr>
          <w:jc w:val="center"/>
        </w:trPr>
        <w:tc>
          <w:tcPr>
            <w:tcW w:w="4135" w:type="dxa"/>
            <w:tcBorders>
              <w:bottom w:val="single" w:sz="4" w:space="0" w:color="auto"/>
            </w:tcBorders>
          </w:tcPr>
          <w:p w14:paraId="42AD7888" w14:textId="77777777" w:rsidR="00000186" w:rsidRPr="005A7EED" w:rsidRDefault="00000186" w:rsidP="00000186">
            <w:pPr>
              <w:rPr>
                <w:rFonts w:cstheme="minorHAnsi"/>
              </w:rPr>
            </w:pPr>
            <w:r w:rsidRPr="005A7EED">
              <w:rPr>
                <w:rFonts w:cstheme="minorHAnsi"/>
              </w:rPr>
              <w:t>Transportation</w:t>
            </w:r>
          </w:p>
        </w:tc>
        <w:tc>
          <w:tcPr>
            <w:tcW w:w="2160" w:type="dxa"/>
            <w:tcBorders>
              <w:bottom w:val="single" w:sz="4" w:space="0" w:color="auto"/>
            </w:tcBorders>
          </w:tcPr>
          <w:p w14:paraId="13F5DE90" w14:textId="77777777" w:rsidR="00000186" w:rsidRPr="005A7EED" w:rsidRDefault="00000186" w:rsidP="00000186">
            <w:pPr>
              <w:ind w:right="576"/>
              <w:jc w:val="right"/>
              <w:rPr>
                <w:rFonts w:cstheme="minorHAnsi"/>
              </w:rPr>
            </w:pPr>
            <w:r w:rsidRPr="005A7EED">
              <w:rPr>
                <w:rFonts w:cstheme="minorHAnsi"/>
              </w:rPr>
              <w:t>$</w:t>
            </w:r>
            <w:r>
              <w:rPr>
                <w:rFonts w:cstheme="minorHAnsi"/>
              </w:rPr>
              <w:t>522</w:t>
            </w:r>
          </w:p>
        </w:tc>
        <w:tc>
          <w:tcPr>
            <w:tcW w:w="2160" w:type="dxa"/>
            <w:tcBorders>
              <w:bottom w:val="single" w:sz="4" w:space="0" w:color="auto"/>
            </w:tcBorders>
          </w:tcPr>
          <w:p w14:paraId="5A67F607" w14:textId="77777777" w:rsidR="00000186" w:rsidRPr="005A7EED" w:rsidRDefault="00000186" w:rsidP="00000186">
            <w:pPr>
              <w:ind w:right="648"/>
              <w:jc w:val="right"/>
              <w:rPr>
                <w:rFonts w:cstheme="minorHAnsi"/>
              </w:rPr>
            </w:pPr>
            <w:r w:rsidRPr="005A7EED">
              <w:rPr>
                <w:rFonts w:cstheme="minorHAnsi"/>
              </w:rPr>
              <w:t>$</w:t>
            </w:r>
            <w:r>
              <w:rPr>
                <w:rFonts w:cstheme="minorHAnsi"/>
              </w:rPr>
              <w:t>522</w:t>
            </w:r>
          </w:p>
        </w:tc>
      </w:tr>
      <w:tr w:rsidR="00000186" w:rsidRPr="005A7EED" w14:paraId="677030B8" w14:textId="77777777" w:rsidTr="00000186">
        <w:trPr>
          <w:jc w:val="center"/>
        </w:trPr>
        <w:tc>
          <w:tcPr>
            <w:tcW w:w="4135" w:type="dxa"/>
            <w:tcBorders>
              <w:top w:val="single" w:sz="4" w:space="0" w:color="auto"/>
              <w:bottom w:val="nil"/>
            </w:tcBorders>
          </w:tcPr>
          <w:p w14:paraId="49F3E273" w14:textId="77777777" w:rsidR="00000186" w:rsidRPr="005A7EED" w:rsidRDefault="00000186" w:rsidP="00000186">
            <w:pPr>
              <w:rPr>
                <w:rFonts w:cstheme="minorHAnsi"/>
              </w:rPr>
            </w:pPr>
            <w:r w:rsidRPr="005A7EED">
              <w:rPr>
                <w:rFonts w:cstheme="minorHAnsi"/>
              </w:rPr>
              <w:t>Average cost of attendance</w:t>
            </w:r>
          </w:p>
        </w:tc>
        <w:tc>
          <w:tcPr>
            <w:tcW w:w="2160" w:type="dxa"/>
            <w:tcBorders>
              <w:top w:val="single" w:sz="4" w:space="0" w:color="auto"/>
              <w:bottom w:val="nil"/>
            </w:tcBorders>
          </w:tcPr>
          <w:p w14:paraId="2C4326DA" w14:textId="778BE4D8" w:rsidR="00000186" w:rsidRPr="005A7EED" w:rsidRDefault="00000186" w:rsidP="00000186">
            <w:pPr>
              <w:ind w:right="576"/>
              <w:jc w:val="right"/>
              <w:rPr>
                <w:rFonts w:cstheme="minorHAnsi"/>
              </w:rPr>
            </w:pPr>
            <w:r w:rsidRPr="005A7EED">
              <w:rPr>
                <w:rFonts w:cstheme="minorHAnsi"/>
              </w:rPr>
              <w:t>$</w:t>
            </w:r>
            <w:r>
              <w:rPr>
                <w:rFonts w:cstheme="minorHAnsi"/>
              </w:rPr>
              <w:t>5</w:t>
            </w:r>
            <w:r w:rsidR="007E0D45">
              <w:rPr>
                <w:rFonts w:cstheme="minorHAnsi"/>
              </w:rPr>
              <w:t>2,157</w:t>
            </w:r>
          </w:p>
        </w:tc>
        <w:tc>
          <w:tcPr>
            <w:tcW w:w="2160" w:type="dxa"/>
            <w:tcBorders>
              <w:top w:val="single" w:sz="4" w:space="0" w:color="auto"/>
              <w:bottom w:val="nil"/>
            </w:tcBorders>
          </w:tcPr>
          <w:p w14:paraId="27364134" w14:textId="521EB64F" w:rsidR="00000186" w:rsidRPr="005A7EED" w:rsidRDefault="00000186" w:rsidP="00000186">
            <w:pPr>
              <w:ind w:right="648"/>
              <w:jc w:val="right"/>
              <w:rPr>
                <w:rFonts w:cstheme="minorHAnsi"/>
              </w:rPr>
            </w:pPr>
            <w:r w:rsidRPr="005A7EED">
              <w:rPr>
                <w:rFonts w:cstheme="minorHAnsi"/>
              </w:rPr>
              <w:t>$</w:t>
            </w:r>
            <w:r>
              <w:rPr>
                <w:rFonts w:cstheme="minorHAnsi"/>
              </w:rPr>
              <w:t>18,</w:t>
            </w:r>
            <w:r w:rsidR="007E0D45">
              <w:rPr>
                <w:rFonts w:cstheme="minorHAnsi"/>
              </w:rPr>
              <w:t>931</w:t>
            </w:r>
          </w:p>
        </w:tc>
      </w:tr>
      <w:tr w:rsidR="00000186" w:rsidRPr="0089474A" w14:paraId="79AD3C9A" w14:textId="77777777" w:rsidTr="00000186">
        <w:trPr>
          <w:jc w:val="center"/>
        </w:trPr>
        <w:tc>
          <w:tcPr>
            <w:tcW w:w="4135" w:type="dxa"/>
            <w:tcBorders>
              <w:top w:val="nil"/>
              <w:bottom w:val="single" w:sz="4" w:space="0" w:color="auto"/>
            </w:tcBorders>
          </w:tcPr>
          <w:p w14:paraId="5609F1F6" w14:textId="77777777" w:rsidR="00000186" w:rsidRPr="005A7EED" w:rsidRDefault="00000186" w:rsidP="00000186">
            <w:pPr>
              <w:rPr>
                <w:rFonts w:cstheme="minorHAnsi"/>
              </w:rPr>
            </w:pPr>
            <w:r w:rsidRPr="005A7EED">
              <w:rPr>
                <w:rFonts w:cstheme="minorHAnsi"/>
              </w:rPr>
              <w:t xml:space="preserve">Average </w:t>
            </w:r>
            <w:r>
              <w:rPr>
                <w:rFonts w:cstheme="minorHAnsi"/>
              </w:rPr>
              <w:t xml:space="preserve">academic-year </w:t>
            </w:r>
            <w:r w:rsidRPr="005A7EED">
              <w:rPr>
                <w:rFonts w:cstheme="minorHAnsi"/>
              </w:rPr>
              <w:t>stipend</w:t>
            </w:r>
          </w:p>
        </w:tc>
        <w:tc>
          <w:tcPr>
            <w:tcW w:w="2160" w:type="dxa"/>
            <w:tcBorders>
              <w:top w:val="nil"/>
              <w:bottom w:val="single" w:sz="4" w:space="0" w:color="auto"/>
            </w:tcBorders>
          </w:tcPr>
          <w:p w14:paraId="56945284" w14:textId="77777777" w:rsidR="00000186" w:rsidRPr="005A7EED" w:rsidRDefault="00000186" w:rsidP="00000186">
            <w:pPr>
              <w:jc w:val="center"/>
              <w:rPr>
                <w:rFonts w:cstheme="minorHAnsi"/>
              </w:rPr>
            </w:pPr>
            <w:r w:rsidRPr="005A7EED">
              <w:rPr>
                <w:rFonts w:cstheme="minorHAnsi"/>
              </w:rPr>
              <w:t>—</w:t>
            </w:r>
          </w:p>
        </w:tc>
        <w:tc>
          <w:tcPr>
            <w:tcW w:w="2160" w:type="dxa"/>
            <w:tcBorders>
              <w:top w:val="nil"/>
              <w:bottom w:val="single" w:sz="4" w:space="0" w:color="auto"/>
            </w:tcBorders>
          </w:tcPr>
          <w:p w14:paraId="132E7E3A" w14:textId="77777777" w:rsidR="00000186" w:rsidRPr="0089474A" w:rsidRDefault="00000186" w:rsidP="00000186">
            <w:pPr>
              <w:ind w:right="648"/>
              <w:jc w:val="right"/>
              <w:rPr>
                <w:rFonts w:cstheme="minorHAnsi"/>
              </w:rPr>
            </w:pPr>
            <w:r w:rsidRPr="005A7EED">
              <w:rPr>
                <w:rFonts w:cstheme="minorHAnsi"/>
              </w:rPr>
              <w:t>$21,135</w:t>
            </w:r>
          </w:p>
        </w:tc>
      </w:tr>
      <w:tr w:rsidR="00000186" w:rsidRPr="0089474A" w14:paraId="3C0AD113" w14:textId="77777777" w:rsidTr="00000186">
        <w:trPr>
          <w:jc w:val="center"/>
        </w:trPr>
        <w:tc>
          <w:tcPr>
            <w:tcW w:w="8455" w:type="dxa"/>
            <w:gridSpan w:val="3"/>
            <w:tcBorders>
              <w:top w:val="single" w:sz="4" w:space="0" w:color="auto"/>
              <w:bottom w:val="single" w:sz="4" w:space="0" w:color="auto"/>
            </w:tcBorders>
          </w:tcPr>
          <w:p w14:paraId="05FACF5E" w14:textId="77777777" w:rsidR="00000186" w:rsidRDefault="00000186" w:rsidP="00000186">
            <w:pPr>
              <w:rPr>
                <w:rFonts w:cstheme="minorHAnsi"/>
              </w:rPr>
            </w:pPr>
          </w:p>
          <w:p w14:paraId="01F20086" w14:textId="2397A358" w:rsidR="00000186" w:rsidRPr="005A7EED" w:rsidRDefault="00000186" w:rsidP="00000186">
            <w:pPr>
              <w:rPr>
                <w:rFonts w:cstheme="minorHAnsi"/>
              </w:rPr>
            </w:pPr>
            <w:r>
              <w:rPr>
                <w:sz w:val="18"/>
                <w:szCs w:val="18"/>
              </w:rPr>
              <w:t xml:space="preserve">Tuition is the maximum covered for graduate assistants at the non-resident rate.  Transportation cost </w:t>
            </w:r>
            <w:r w:rsidR="00172256">
              <w:rPr>
                <w:sz w:val="18"/>
                <w:szCs w:val="18"/>
              </w:rPr>
              <w:t>is</w:t>
            </w:r>
            <w:r>
              <w:rPr>
                <w:sz w:val="18"/>
                <w:szCs w:val="18"/>
              </w:rPr>
              <w:t xml:space="preserve"> from the </w:t>
            </w:r>
            <w:r w:rsidRPr="00C95647">
              <w:rPr>
                <w:sz w:val="18"/>
                <w:szCs w:val="18"/>
              </w:rPr>
              <w:t xml:space="preserve">Bureau of Labor Statistic's Consumer Expenditure Survey for </w:t>
            </w:r>
            <w:r>
              <w:rPr>
                <w:sz w:val="18"/>
                <w:szCs w:val="18"/>
              </w:rPr>
              <w:t xml:space="preserve">public transportation in the </w:t>
            </w:r>
            <w:r w:rsidRPr="00C95647">
              <w:rPr>
                <w:sz w:val="18"/>
                <w:szCs w:val="18"/>
              </w:rPr>
              <w:t>Northeast region</w:t>
            </w:r>
            <w:r>
              <w:rPr>
                <w:sz w:val="18"/>
                <w:szCs w:val="18"/>
              </w:rPr>
              <w:t xml:space="preserve">.  (Mandatory fees cover shuttle bus service to most areas where graduate assistants live.)  Other costs are </w:t>
            </w:r>
            <w:r w:rsidRPr="00C95647">
              <w:rPr>
                <w:rFonts w:cstheme="minorHAnsi"/>
                <w:sz w:val="18"/>
                <w:szCs w:val="18"/>
              </w:rPr>
              <w:t>estimated by the Office of Student Financial Aid according to federal guidelines</w:t>
            </w:r>
            <w:r>
              <w:rPr>
                <w:rFonts w:cstheme="minorHAnsi"/>
                <w:sz w:val="18"/>
                <w:szCs w:val="18"/>
              </w:rPr>
              <w:t>; s</w:t>
            </w:r>
            <w:r w:rsidRPr="00C95647">
              <w:rPr>
                <w:rFonts w:cstheme="minorHAnsi"/>
                <w:sz w:val="18"/>
                <w:szCs w:val="18"/>
              </w:rPr>
              <w:t xml:space="preserve">ee </w:t>
            </w:r>
            <w:hyperlink r:id="rId8" w:history="1">
              <w:r w:rsidRPr="00C95647">
                <w:rPr>
                  <w:rStyle w:val="Hyperlink"/>
                  <w:sz w:val="18"/>
                  <w:szCs w:val="18"/>
                </w:rPr>
                <w:t>https://financialaid.umd.edu/resources-policies/cost-attendance</w:t>
              </w:r>
            </w:hyperlink>
            <w:r w:rsidRPr="00C95647">
              <w:rPr>
                <w:sz w:val="18"/>
                <w:szCs w:val="18"/>
              </w:rPr>
              <w:t>.</w:t>
            </w:r>
            <w:r>
              <w:rPr>
                <w:sz w:val="18"/>
                <w:szCs w:val="18"/>
              </w:rPr>
              <w:t xml:space="preserve"> </w:t>
            </w:r>
          </w:p>
        </w:tc>
      </w:tr>
    </w:tbl>
    <w:p w14:paraId="060388D2" w14:textId="77777777" w:rsidR="00000186" w:rsidRPr="0089474A" w:rsidRDefault="00000186" w:rsidP="007D130E">
      <w:pPr>
        <w:rPr>
          <w:rFonts w:asciiTheme="minorHAnsi" w:hAnsiTheme="minorHAnsi" w:cstheme="minorHAnsi"/>
        </w:rPr>
      </w:pPr>
    </w:p>
    <w:sectPr w:rsidR="00000186" w:rsidRPr="0089474A" w:rsidSect="00FA3088">
      <w:footerReference w:type="even" r:id="rId9"/>
      <w:footerReference w:type="default" r:id="rId10"/>
      <w:headerReference w:type="first" r:id="rId11"/>
      <w:footerReference w:type="first" r:id="rId12"/>
      <w:pgSz w:w="12240" w:h="15840"/>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1B6B5" w14:textId="77777777" w:rsidR="00A02B68" w:rsidRDefault="00A02B68">
      <w:r>
        <w:separator/>
      </w:r>
    </w:p>
  </w:endnote>
  <w:endnote w:type="continuationSeparator" w:id="0">
    <w:p w14:paraId="0BBF9153" w14:textId="77777777" w:rsidR="00A02B68" w:rsidRDefault="00A0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A142" w14:textId="77777777" w:rsidR="00A02B68" w:rsidRDefault="00A02B68" w:rsidP="0024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F11D85" w14:textId="77777777" w:rsidR="00A02B68" w:rsidRDefault="00A0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4CBA" w14:textId="77777777" w:rsidR="00A02B68" w:rsidRDefault="00A02B68" w:rsidP="0024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8B2A67" w14:textId="77777777" w:rsidR="00A02B68" w:rsidRDefault="00A02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427D" w14:textId="77777777" w:rsidR="00A02B68" w:rsidRDefault="00A02B68" w:rsidP="002A0D4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A965" w14:textId="77777777" w:rsidR="00A02B68" w:rsidRDefault="00A02B68">
      <w:r>
        <w:separator/>
      </w:r>
    </w:p>
  </w:footnote>
  <w:footnote w:type="continuationSeparator" w:id="0">
    <w:p w14:paraId="46DA4DE1" w14:textId="77777777" w:rsidR="00A02B68" w:rsidRDefault="00A0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B413" w14:textId="77777777" w:rsidR="00A02B68" w:rsidRDefault="00A02B68" w:rsidP="006A1380">
    <w:pPr>
      <w:pStyle w:val="Header"/>
      <w:tabs>
        <w:tab w:val="clear" w:pos="8640"/>
        <w:tab w:val="left" w:pos="1085"/>
        <w:tab w:val="left" w:pos="7455"/>
      </w:tabs>
      <w:ind w:left="-900"/>
      <w:jc w:val="both"/>
    </w:pPr>
    <w:r w:rsidRPr="0042060E">
      <w:rPr>
        <w:rFonts w:ascii="Adobe Garamond Pro" w:hAnsi="Adobe Garamond Pro"/>
        <w:noProof/>
      </w:rPr>
      <mc:AlternateContent>
        <mc:Choice Requires="wps">
          <w:drawing>
            <wp:anchor distT="45720" distB="45720" distL="114300" distR="114300" simplePos="0" relativeHeight="251669504" behindDoc="0" locked="0" layoutInCell="1" allowOverlap="1" wp14:anchorId="04B4B388" wp14:editId="2358166A">
              <wp:simplePos x="0" y="0"/>
              <wp:positionH relativeFrom="margin">
                <wp:posOffset>3495370</wp:posOffset>
              </wp:positionH>
              <wp:positionV relativeFrom="paragraph">
                <wp:posOffset>69850</wp:posOffset>
              </wp:positionV>
              <wp:extent cx="2265045" cy="657860"/>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657860"/>
                      </a:xfrm>
                      <a:prstGeom prst="rect">
                        <a:avLst/>
                      </a:prstGeom>
                      <a:solidFill>
                        <a:srgbClr val="FFFFFF"/>
                      </a:solidFill>
                      <a:ln w="9525">
                        <a:noFill/>
                        <a:miter lim="800000"/>
                        <a:headEnd/>
                        <a:tailEnd/>
                      </a:ln>
                    </wps:spPr>
                    <wps:txbx>
                      <w:txbxContent>
                        <w:p w14:paraId="7ADAA935" w14:textId="77777777" w:rsidR="00A02B68" w:rsidRPr="00C56A25" w:rsidRDefault="00A02B68"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2125 Lee Building</w:t>
                          </w:r>
                        </w:p>
                        <w:p w14:paraId="319A55C8" w14:textId="77777777" w:rsidR="00A02B68" w:rsidRPr="00C56A25" w:rsidRDefault="00A02B68"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College Park, MD 20742-5121</w:t>
                          </w:r>
                        </w:p>
                        <w:p w14:paraId="08D9B97E" w14:textId="77777777" w:rsidR="00A02B68" w:rsidRPr="00C56A25" w:rsidRDefault="00A02B68"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Tel (301) 405-</w:t>
                          </w:r>
                          <w:proofErr w:type="gramStart"/>
                          <w:r w:rsidRPr="00C56A25">
                            <w:rPr>
                              <w:rFonts w:ascii="Adobe Garamond Pro" w:hAnsi="Adobe Garamond Pro"/>
                              <w:color w:val="000000" w:themeColor="text1"/>
                              <w:sz w:val="19"/>
                              <w:szCs w:val="19"/>
                            </w:rPr>
                            <w:t>0358  Fax</w:t>
                          </w:r>
                          <w:proofErr w:type="gramEnd"/>
                          <w:r w:rsidRPr="00C56A25">
                            <w:rPr>
                              <w:rFonts w:ascii="Adobe Garamond Pro" w:hAnsi="Adobe Garamond Pro"/>
                              <w:color w:val="000000" w:themeColor="text1"/>
                              <w:sz w:val="19"/>
                              <w:szCs w:val="19"/>
                            </w:rPr>
                            <w:t xml:space="preserve"> (301) 314-9305</w:t>
                          </w:r>
                        </w:p>
                        <w:p w14:paraId="23ADD677" w14:textId="77777777" w:rsidR="00A02B68" w:rsidRPr="00C56A25" w:rsidRDefault="00A02B68"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www.gradschool.umd.edu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4B388" id="_x0000_t202" coordsize="21600,21600" o:spt="202" path="m,l,21600r21600,l21600,xe">
              <v:stroke joinstyle="miter"/>
              <v:path gradientshapeok="t" o:connecttype="rect"/>
            </v:shapetype>
            <v:shape id="Text Box 2" o:spid="_x0000_s1026" type="#_x0000_t202" style="position:absolute;left:0;text-align:left;margin-left:275.25pt;margin-top:5.5pt;width:178.35pt;height:51.8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" stroked="f">
              <v:textbox style="mso-fit-shape-to-text:t">
                <w:txbxContent>
                  <w:p w14:paraId="7ADAA935" w14:textId="77777777" w:rsidR="00000186" w:rsidRPr="00C56A25" w:rsidRDefault="00000186"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2125 Lee Building</w:t>
                    </w:r>
                  </w:p>
                  <w:p w14:paraId="319A55C8" w14:textId="77777777" w:rsidR="00000186" w:rsidRPr="00C56A25" w:rsidRDefault="00000186"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College Park, MD 20742-5121</w:t>
                    </w:r>
                  </w:p>
                  <w:p w14:paraId="08D9B97E" w14:textId="77777777" w:rsidR="00000186" w:rsidRPr="00C56A25" w:rsidRDefault="00000186"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Tel (301) 405-</w:t>
                    </w:r>
                    <w:proofErr w:type="gramStart"/>
                    <w:r w:rsidRPr="00C56A25">
                      <w:rPr>
                        <w:rFonts w:ascii="Adobe Garamond Pro" w:hAnsi="Adobe Garamond Pro"/>
                        <w:color w:val="000000" w:themeColor="text1"/>
                        <w:sz w:val="19"/>
                        <w:szCs w:val="19"/>
                      </w:rPr>
                      <w:t>0358  Fax</w:t>
                    </w:r>
                    <w:proofErr w:type="gramEnd"/>
                    <w:r w:rsidRPr="00C56A25">
                      <w:rPr>
                        <w:rFonts w:ascii="Adobe Garamond Pro" w:hAnsi="Adobe Garamond Pro"/>
                        <w:color w:val="000000" w:themeColor="text1"/>
                        <w:sz w:val="19"/>
                        <w:szCs w:val="19"/>
                      </w:rPr>
                      <w:t xml:space="preserve"> (301) 314-9305</w:t>
                    </w:r>
                  </w:p>
                  <w:p w14:paraId="23ADD677" w14:textId="77777777" w:rsidR="00000186" w:rsidRPr="00C56A25" w:rsidRDefault="00000186"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www.gradschool.umd.edu</w:t>
                    </w:r>
                  </w:p>
                </w:txbxContent>
              </v:textbox>
              <w10:wrap type="square" anchorx="margin"/>
            </v:shape>
          </w:pict>
        </mc:Fallback>
      </mc:AlternateContent>
    </w:r>
    <w:r w:rsidRPr="007A4A6D">
      <w:rPr>
        <w:rFonts w:ascii="Helvetica" w:hAnsi="Helvetica"/>
        <w:noProof/>
        <w:sz w:val="16"/>
        <w:szCs w:val="16"/>
      </w:rPr>
      <mc:AlternateContent>
        <mc:Choice Requires="wps">
          <w:drawing>
            <wp:anchor distT="45720" distB="45720" distL="114300" distR="114300" simplePos="0" relativeHeight="251659264" behindDoc="0" locked="0" layoutInCell="1" allowOverlap="1" wp14:anchorId="0560A838" wp14:editId="6822194C">
              <wp:simplePos x="0" y="0"/>
              <wp:positionH relativeFrom="column">
                <wp:posOffset>-100330</wp:posOffset>
              </wp:positionH>
              <wp:positionV relativeFrom="paragraph">
                <wp:posOffset>496570</wp:posOffset>
              </wp:positionV>
              <wp:extent cx="1495425" cy="261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1620"/>
                      </a:xfrm>
                      <a:prstGeom prst="rect">
                        <a:avLst/>
                      </a:prstGeom>
                      <a:solidFill>
                        <a:srgbClr val="FFFFFF"/>
                      </a:solidFill>
                      <a:ln w="9525">
                        <a:noFill/>
                        <a:miter lim="800000"/>
                        <a:headEnd/>
                        <a:tailEnd/>
                      </a:ln>
                    </wps:spPr>
                    <wps:txbx>
                      <w:txbxContent>
                        <w:p w14:paraId="042F054E" w14:textId="77777777" w:rsidR="00A02B68" w:rsidRPr="009D6C73" w:rsidRDefault="00A02B68">
                          <w:pPr>
                            <w:rPr>
                              <w:rFonts w:ascii="Adobe Garamond Pro" w:hAnsi="Adobe Garamond Pro"/>
                              <w:i/>
                              <w:color w:val="404040" w:themeColor="text1" w:themeTint="BF"/>
                              <w:sz w:val="22"/>
                              <w:szCs w:val="22"/>
                            </w:rPr>
                          </w:pPr>
                          <w:r w:rsidRPr="009D6C73">
                            <w:rPr>
                              <w:rFonts w:ascii="Adobe Garamond Pro" w:hAnsi="Adobe Garamond Pro"/>
                              <w:i/>
                              <w:color w:val="404040" w:themeColor="text1" w:themeTint="BF"/>
                              <w:sz w:val="22"/>
                              <w:szCs w:val="22"/>
                            </w:rPr>
                            <w:t>Office of the Dean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0A838" id="_x0000_s1027" type="#_x0000_t202" style="position:absolute;left:0;text-align:left;margin-left:-7.9pt;margin-top:39.1pt;width:117.75pt;height:2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" stroked="f">
              <v:textbox style="mso-fit-shape-to-text:t">
                <w:txbxContent>
                  <w:p w14:paraId="042F054E" w14:textId="77777777" w:rsidR="00000186" w:rsidRPr="009D6C73" w:rsidRDefault="00000186">
                    <w:pPr>
                      <w:rPr>
                        <w:rFonts w:ascii="Adobe Garamond Pro" w:hAnsi="Adobe Garamond Pro"/>
                        <w:i/>
                        <w:color w:val="404040" w:themeColor="text1" w:themeTint="BF"/>
                        <w:sz w:val="22"/>
                        <w:szCs w:val="22"/>
                      </w:rPr>
                    </w:pPr>
                    <w:r w:rsidRPr="009D6C73">
                      <w:rPr>
                        <w:rFonts w:ascii="Adobe Garamond Pro" w:hAnsi="Adobe Garamond Pro"/>
                        <w:i/>
                        <w:color w:val="404040" w:themeColor="text1" w:themeTint="BF"/>
                        <w:sz w:val="22"/>
                        <w:szCs w:val="22"/>
                      </w:rPr>
                      <w:t>Office of the Dean</w:t>
                    </w:r>
                  </w:p>
                </w:txbxContent>
              </v:textbox>
              <w10:wrap type="square"/>
            </v:shape>
          </w:pict>
        </mc:Fallback>
      </mc:AlternateContent>
    </w:r>
    <w:r w:rsidRPr="007A4A6D">
      <w:rPr>
        <w:noProof/>
      </w:rPr>
      <w:drawing>
        <wp:anchor distT="0" distB="0" distL="114300" distR="114300" simplePos="0" relativeHeight="251671552" behindDoc="0" locked="0" layoutInCell="1" allowOverlap="1" wp14:anchorId="7F317835" wp14:editId="27DD9645">
          <wp:simplePos x="0" y="0"/>
          <wp:positionH relativeFrom="margin">
            <wp:posOffset>-803910</wp:posOffset>
          </wp:positionH>
          <wp:positionV relativeFrom="paragraph">
            <wp:posOffset>-72695</wp:posOffset>
          </wp:positionV>
          <wp:extent cx="3386455" cy="717550"/>
          <wp:effectExtent l="0" t="0" r="4445" b="6350"/>
          <wp:wrapSquare wrapText="bothSides"/>
          <wp:docPr id="3" name="Picture 3" descr="U:\UMD Grad School\GS Communications\Branding and Marketing\Logos\UMD-GS-logo-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MD Grad School\GS Communications\Branding and Marketing\Logos\UMD-GS-logo-no-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6455" cy="717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3075"/>
    <w:multiLevelType w:val="hybridMultilevel"/>
    <w:tmpl w:val="8CF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15327"/>
    <w:multiLevelType w:val="hybridMultilevel"/>
    <w:tmpl w:val="32123D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071E1C"/>
    <w:multiLevelType w:val="hybridMultilevel"/>
    <w:tmpl w:val="7C1230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66A58"/>
    <w:multiLevelType w:val="hybridMultilevel"/>
    <w:tmpl w:val="BA34F8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773023"/>
    <w:multiLevelType w:val="hybridMultilevel"/>
    <w:tmpl w:val="0824A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F4362"/>
    <w:multiLevelType w:val="hybridMultilevel"/>
    <w:tmpl w:val="206AEF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C037E"/>
    <w:multiLevelType w:val="hybridMultilevel"/>
    <w:tmpl w:val="3DCE63A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0389C"/>
    <w:multiLevelType w:val="hybridMultilevel"/>
    <w:tmpl w:val="20326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A47D0"/>
    <w:multiLevelType w:val="hybridMultilevel"/>
    <w:tmpl w:val="1F9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9E03FD"/>
    <w:multiLevelType w:val="hybridMultilevel"/>
    <w:tmpl w:val="76AA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26BDF"/>
    <w:multiLevelType w:val="hybridMultilevel"/>
    <w:tmpl w:val="43B624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942C78"/>
    <w:multiLevelType w:val="hybridMultilevel"/>
    <w:tmpl w:val="48B49D10"/>
    <w:lvl w:ilvl="0" w:tplc="F08CF47C">
      <w:start w:val="1"/>
      <w:numFmt w:val="upperRoman"/>
      <w:lvlText w:val="%1."/>
      <w:lvlJc w:val="left"/>
      <w:pPr>
        <w:ind w:left="820" w:hanging="514"/>
        <w:jc w:val="right"/>
      </w:pPr>
      <w:rPr>
        <w:rFonts w:ascii="Times New Roman" w:eastAsia="Times New Roman" w:hAnsi="Times New Roman" w:hint="default"/>
        <w:b/>
        <w:bCs/>
        <w:sz w:val="24"/>
        <w:szCs w:val="24"/>
      </w:rPr>
    </w:lvl>
    <w:lvl w:ilvl="1" w:tplc="E6B44038">
      <w:start w:val="1"/>
      <w:numFmt w:val="lowerLetter"/>
      <w:lvlText w:val="%2."/>
      <w:lvlJc w:val="left"/>
      <w:pPr>
        <w:ind w:left="1540" w:hanging="360"/>
        <w:jc w:val="left"/>
      </w:pPr>
      <w:rPr>
        <w:rFonts w:ascii="Times New Roman" w:eastAsia="Times New Roman" w:hAnsi="Times New Roman" w:hint="default"/>
        <w:spacing w:val="-1"/>
        <w:sz w:val="24"/>
        <w:szCs w:val="24"/>
      </w:rPr>
    </w:lvl>
    <w:lvl w:ilvl="2" w:tplc="2864E316">
      <w:start w:val="1"/>
      <w:numFmt w:val="bullet"/>
      <w:lvlText w:val="•"/>
      <w:lvlJc w:val="left"/>
      <w:pPr>
        <w:ind w:left="2418" w:hanging="360"/>
      </w:pPr>
      <w:rPr>
        <w:rFonts w:hint="default"/>
      </w:rPr>
    </w:lvl>
    <w:lvl w:ilvl="3" w:tplc="7AF8D784">
      <w:start w:val="1"/>
      <w:numFmt w:val="bullet"/>
      <w:lvlText w:val="•"/>
      <w:lvlJc w:val="left"/>
      <w:pPr>
        <w:ind w:left="3295" w:hanging="360"/>
      </w:pPr>
      <w:rPr>
        <w:rFonts w:hint="default"/>
      </w:rPr>
    </w:lvl>
    <w:lvl w:ilvl="4" w:tplc="A53EB51A">
      <w:start w:val="1"/>
      <w:numFmt w:val="bullet"/>
      <w:lvlText w:val="•"/>
      <w:lvlJc w:val="left"/>
      <w:pPr>
        <w:ind w:left="4173" w:hanging="360"/>
      </w:pPr>
      <w:rPr>
        <w:rFonts w:hint="default"/>
      </w:rPr>
    </w:lvl>
    <w:lvl w:ilvl="5" w:tplc="263C2AD6">
      <w:start w:val="1"/>
      <w:numFmt w:val="bullet"/>
      <w:lvlText w:val="•"/>
      <w:lvlJc w:val="left"/>
      <w:pPr>
        <w:ind w:left="5051" w:hanging="360"/>
      </w:pPr>
      <w:rPr>
        <w:rFonts w:hint="default"/>
      </w:rPr>
    </w:lvl>
    <w:lvl w:ilvl="6" w:tplc="C1C6433E">
      <w:start w:val="1"/>
      <w:numFmt w:val="bullet"/>
      <w:lvlText w:val="•"/>
      <w:lvlJc w:val="left"/>
      <w:pPr>
        <w:ind w:left="5929" w:hanging="360"/>
      </w:pPr>
      <w:rPr>
        <w:rFonts w:hint="default"/>
      </w:rPr>
    </w:lvl>
    <w:lvl w:ilvl="7" w:tplc="2866378A">
      <w:start w:val="1"/>
      <w:numFmt w:val="bullet"/>
      <w:lvlText w:val="•"/>
      <w:lvlJc w:val="left"/>
      <w:pPr>
        <w:ind w:left="6806" w:hanging="360"/>
      </w:pPr>
      <w:rPr>
        <w:rFonts w:hint="default"/>
      </w:rPr>
    </w:lvl>
    <w:lvl w:ilvl="8" w:tplc="0C06B310">
      <w:start w:val="1"/>
      <w:numFmt w:val="bullet"/>
      <w:lvlText w:val="•"/>
      <w:lvlJc w:val="left"/>
      <w:pPr>
        <w:ind w:left="7684" w:hanging="360"/>
      </w:pPr>
      <w:rPr>
        <w:rFonts w:hint="default"/>
      </w:rPr>
    </w:lvl>
  </w:abstractNum>
  <w:abstractNum w:abstractNumId="12" w15:restartNumberingAfterBreak="0">
    <w:nsid w:val="48EE1204"/>
    <w:multiLevelType w:val="hybridMultilevel"/>
    <w:tmpl w:val="B7642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CD458E"/>
    <w:multiLevelType w:val="hybridMultilevel"/>
    <w:tmpl w:val="8E26A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1E6A74"/>
    <w:multiLevelType w:val="hybridMultilevel"/>
    <w:tmpl w:val="49BA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57ECD"/>
    <w:multiLevelType w:val="hybridMultilevel"/>
    <w:tmpl w:val="ECF40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422C72"/>
    <w:multiLevelType w:val="hybridMultilevel"/>
    <w:tmpl w:val="FABC9E9C"/>
    <w:lvl w:ilvl="0" w:tplc="651EA816">
      <w:start w:val="201"/>
      <w:numFmt w:val="decimal"/>
      <w:lvlText w:val="%1"/>
      <w:lvlJc w:val="left"/>
      <w:pPr>
        <w:tabs>
          <w:tab w:val="num" w:pos="660"/>
        </w:tabs>
        <w:ind w:left="660" w:hanging="4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72B3115A"/>
    <w:multiLevelType w:val="hybridMultilevel"/>
    <w:tmpl w:val="BBDA09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13614B"/>
    <w:multiLevelType w:val="hybridMultilevel"/>
    <w:tmpl w:val="E9866A72"/>
    <w:lvl w:ilvl="0" w:tplc="F7505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2"/>
  </w:num>
  <w:num w:numId="4">
    <w:abstractNumId w:val="5"/>
  </w:num>
  <w:num w:numId="5">
    <w:abstractNumId w:val="10"/>
  </w:num>
  <w:num w:numId="6">
    <w:abstractNumId w:val="3"/>
  </w:num>
  <w:num w:numId="7">
    <w:abstractNumId w:val="15"/>
  </w:num>
  <w:num w:numId="8">
    <w:abstractNumId w:val="17"/>
  </w:num>
  <w:num w:numId="9">
    <w:abstractNumId w:val="1"/>
  </w:num>
  <w:num w:numId="10">
    <w:abstractNumId w:val="16"/>
  </w:num>
  <w:num w:numId="11">
    <w:abstractNumId w:val="6"/>
  </w:num>
  <w:num w:numId="12">
    <w:abstractNumId w:val="13"/>
  </w:num>
  <w:num w:numId="13">
    <w:abstractNumId w:val="7"/>
  </w:num>
  <w:num w:numId="14">
    <w:abstractNumId w:val="8"/>
  </w:num>
  <w:num w:numId="15">
    <w:abstractNumId w:val="4"/>
  </w:num>
  <w:num w:numId="16">
    <w:abstractNumId w:val="0"/>
  </w:num>
  <w:num w:numId="17">
    <w:abstractNumId w:val="11"/>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Nominations$` "/>
    <w:activeRecord w:val="83"/>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0A"/>
    <w:rsid w:val="00000186"/>
    <w:rsid w:val="00025FCE"/>
    <w:rsid w:val="00033DE9"/>
    <w:rsid w:val="0003786C"/>
    <w:rsid w:val="000535E9"/>
    <w:rsid w:val="00064134"/>
    <w:rsid w:val="00065E77"/>
    <w:rsid w:val="000A3B5E"/>
    <w:rsid w:val="000B74B4"/>
    <w:rsid w:val="000C3C87"/>
    <w:rsid w:val="000F03EC"/>
    <w:rsid w:val="000F3904"/>
    <w:rsid w:val="00113BC1"/>
    <w:rsid w:val="00130C0C"/>
    <w:rsid w:val="00135B00"/>
    <w:rsid w:val="00150686"/>
    <w:rsid w:val="001539A9"/>
    <w:rsid w:val="00172256"/>
    <w:rsid w:val="001737A5"/>
    <w:rsid w:val="00174D41"/>
    <w:rsid w:val="00180406"/>
    <w:rsid w:val="00194AF6"/>
    <w:rsid w:val="001A066F"/>
    <w:rsid w:val="001A244B"/>
    <w:rsid w:val="001B25C5"/>
    <w:rsid w:val="001B41A5"/>
    <w:rsid w:val="001C0C0E"/>
    <w:rsid w:val="001E12E0"/>
    <w:rsid w:val="001E2F78"/>
    <w:rsid w:val="001E65BD"/>
    <w:rsid w:val="00230A18"/>
    <w:rsid w:val="002319FC"/>
    <w:rsid w:val="00234519"/>
    <w:rsid w:val="00240DE7"/>
    <w:rsid w:val="00253391"/>
    <w:rsid w:val="0026733F"/>
    <w:rsid w:val="0028780F"/>
    <w:rsid w:val="002A0D46"/>
    <w:rsid w:val="002E07C5"/>
    <w:rsid w:val="002E1AE0"/>
    <w:rsid w:val="003025D5"/>
    <w:rsid w:val="003160C3"/>
    <w:rsid w:val="00333244"/>
    <w:rsid w:val="0036475A"/>
    <w:rsid w:val="00372A77"/>
    <w:rsid w:val="0037426F"/>
    <w:rsid w:val="003800CA"/>
    <w:rsid w:val="00385D34"/>
    <w:rsid w:val="00390CA0"/>
    <w:rsid w:val="003958ED"/>
    <w:rsid w:val="003B08DC"/>
    <w:rsid w:val="003B414C"/>
    <w:rsid w:val="003C2445"/>
    <w:rsid w:val="003C2836"/>
    <w:rsid w:val="00402AD1"/>
    <w:rsid w:val="00406F29"/>
    <w:rsid w:val="00407112"/>
    <w:rsid w:val="00407D9F"/>
    <w:rsid w:val="00416A03"/>
    <w:rsid w:val="0042060E"/>
    <w:rsid w:val="004B3063"/>
    <w:rsid w:val="004C51F5"/>
    <w:rsid w:val="004D7937"/>
    <w:rsid w:val="004E55E7"/>
    <w:rsid w:val="00502905"/>
    <w:rsid w:val="00506088"/>
    <w:rsid w:val="0051135B"/>
    <w:rsid w:val="00526E8D"/>
    <w:rsid w:val="0053435A"/>
    <w:rsid w:val="005508E1"/>
    <w:rsid w:val="0055190D"/>
    <w:rsid w:val="00567804"/>
    <w:rsid w:val="0058230E"/>
    <w:rsid w:val="00582549"/>
    <w:rsid w:val="00582F24"/>
    <w:rsid w:val="00587289"/>
    <w:rsid w:val="005A67E6"/>
    <w:rsid w:val="005A7EED"/>
    <w:rsid w:val="005B2239"/>
    <w:rsid w:val="005C4D88"/>
    <w:rsid w:val="005C78C2"/>
    <w:rsid w:val="005D2106"/>
    <w:rsid w:val="005D73A6"/>
    <w:rsid w:val="005E111B"/>
    <w:rsid w:val="005E235B"/>
    <w:rsid w:val="005E4BF7"/>
    <w:rsid w:val="006169FA"/>
    <w:rsid w:val="00632C95"/>
    <w:rsid w:val="00646B82"/>
    <w:rsid w:val="00664A9C"/>
    <w:rsid w:val="006A1380"/>
    <w:rsid w:val="006A20BF"/>
    <w:rsid w:val="006B1C39"/>
    <w:rsid w:val="006C3760"/>
    <w:rsid w:val="006E3B09"/>
    <w:rsid w:val="007069F7"/>
    <w:rsid w:val="00711E86"/>
    <w:rsid w:val="00730472"/>
    <w:rsid w:val="00730C20"/>
    <w:rsid w:val="0073762A"/>
    <w:rsid w:val="00746744"/>
    <w:rsid w:val="00770799"/>
    <w:rsid w:val="00783D58"/>
    <w:rsid w:val="007A1C98"/>
    <w:rsid w:val="007A4A6D"/>
    <w:rsid w:val="007D130E"/>
    <w:rsid w:val="007E0D45"/>
    <w:rsid w:val="007F1CDA"/>
    <w:rsid w:val="0081542F"/>
    <w:rsid w:val="008356E0"/>
    <w:rsid w:val="00865DD2"/>
    <w:rsid w:val="0089474A"/>
    <w:rsid w:val="00896B3D"/>
    <w:rsid w:val="008D083D"/>
    <w:rsid w:val="008D26F1"/>
    <w:rsid w:val="008E450C"/>
    <w:rsid w:val="008F2D99"/>
    <w:rsid w:val="0090656C"/>
    <w:rsid w:val="00921916"/>
    <w:rsid w:val="00934534"/>
    <w:rsid w:val="00942DD7"/>
    <w:rsid w:val="0097466E"/>
    <w:rsid w:val="009762A0"/>
    <w:rsid w:val="00980B19"/>
    <w:rsid w:val="009907F0"/>
    <w:rsid w:val="009965B5"/>
    <w:rsid w:val="009A23E3"/>
    <w:rsid w:val="009D39D2"/>
    <w:rsid w:val="009D6C73"/>
    <w:rsid w:val="00A02B68"/>
    <w:rsid w:val="00A04602"/>
    <w:rsid w:val="00A47183"/>
    <w:rsid w:val="00A500DC"/>
    <w:rsid w:val="00A51919"/>
    <w:rsid w:val="00A6246B"/>
    <w:rsid w:val="00A71E77"/>
    <w:rsid w:val="00A965B9"/>
    <w:rsid w:val="00AA1476"/>
    <w:rsid w:val="00AC200B"/>
    <w:rsid w:val="00AC6515"/>
    <w:rsid w:val="00AE21B4"/>
    <w:rsid w:val="00AE739A"/>
    <w:rsid w:val="00B06000"/>
    <w:rsid w:val="00B4465F"/>
    <w:rsid w:val="00B9222D"/>
    <w:rsid w:val="00BA5765"/>
    <w:rsid w:val="00BB3704"/>
    <w:rsid w:val="00BB64E9"/>
    <w:rsid w:val="00BB67D8"/>
    <w:rsid w:val="00BD38FC"/>
    <w:rsid w:val="00BD52B4"/>
    <w:rsid w:val="00BE0721"/>
    <w:rsid w:val="00BE3293"/>
    <w:rsid w:val="00C00365"/>
    <w:rsid w:val="00C06900"/>
    <w:rsid w:val="00C247DB"/>
    <w:rsid w:val="00C24D4C"/>
    <w:rsid w:val="00C56A25"/>
    <w:rsid w:val="00C6549D"/>
    <w:rsid w:val="00C85079"/>
    <w:rsid w:val="00CA6758"/>
    <w:rsid w:val="00CE272C"/>
    <w:rsid w:val="00D1756C"/>
    <w:rsid w:val="00D25457"/>
    <w:rsid w:val="00D35FD3"/>
    <w:rsid w:val="00D60228"/>
    <w:rsid w:val="00DA0167"/>
    <w:rsid w:val="00DB5F8D"/>
    <w:rsid w:val="00DD4F2E"/>
    <w:rsid w:val="00DF70AA"/>
    <w:rsid w:val="00E134F5"/>
    <w:rsid w:val="00E31D26"/>
    <w:rsid w:val="00E32C8F"/>
    <w:rsid w:val="00E3629D"/>
    <w:rsid w:val="00E407C3"/>
    <w:rsid w:val="00E433C2"/>
    <w:rsid w:val="00E538BC"/>
    <w:rsid w:val="00E540BE"/>
    <w:rsid w:val="00E55480"/>
    <w:rsid w:val="00E62DF5"/>
    <w:rsid w:val="00E643BB"/>
    <w:rsid w:val="00E80324"/>
    <w:rsid w:val="00E903E5"/>
    <w:rsid w:val="00E911A5"/>
    <w:rsid w:val="00EA56A2"/>
    <w:rsid w:val="00EF4DF4"/>
    <w:rsid w:val="00F04637"/>
    <w:rsid w:val="00F0610A"/>
    <w:rsid w:val="00F13098"/>
    <w:rsid w:val="00F32300"/>
    <w:rsid w:val="00F36FD6"/>
    <w:rsid w:val="00F47585"/>
    <w:rsid w:val="00F81124"/>
    <w:rsid w:val="00F82DC9"/>
    <w:rsid w:val="00F942EA"/>
    <w:rsid w:val="00FA0577"/>
    <w:rsid w:val="00FA26ED"/>
    <w:rsid w:val="00FA3088"/>
    <w:rsid w:val="00FC01C2"/>
    <w:rsid w:val="00FF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6347B9"/>
  <w15:chartTrackingRefBased/>
  <w15:docId w15:val="{EB4054FE-8975-4485-9AA9-B18FE08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62DF5"/>
    <w:pPr>
      <w:widowControl w:val="0"/>
      <w:ind w:left="8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3E39"/>
    <w:pPr>
      <w:tabs>
        <w:tab w:val="center" w:pos="4320"/>
        <w:tab w:val="right" w:pos="8640"/>
      </w:tabs>
    </w:pPr>
  </w:style>
  <w:style w:type="character" w:styleId="PageNumber">
    <w:name w:val="page number"/>
    <w:basedOn w:val="DefaultParagraphFont"/>
    <w:rsid w:val="00773E39"/>
  </w:style>
  <w:style w:type="paragraph" w:styleId="Header">
    <w:name w:val="header"/>
    <w:basedOn w:val="Normal"/>
    <w:rsid w:val="00773E39"/>
    <w:pPr>
      <w:tabs>
        <w:tab w:val="center" w:pos="4320"/>
        <w:tab w:val="right" w:pos="8640"/>
      </w:tabs>
    </w:pPr>
  </w:style>
  <w:style w:type="character" w:styleId="Hyperlink">
    <w:name w:val="Hyperlink"/>
    <w:rsid w:val="00E43D0B"/>
    <w:rPr>
      <w:color w:val="0000FF"/>
      <w:u w:val="single"/>
    </w:rPr>
  </w:style>
  <w:style w:type="paragraph" w:styleId="ListParagraph">
    <w:name w:val="List Paragraph"/>
    <w:basedOn w:val="Normal"/>
    <w:uiPriority w:val="34"/>
    <w:qFormat/>
    <w:rsid w:val="00E643BB"/>
    <w:pPr>
      <w:ind w:left="720"/>
      <w:contextualSpacing/>
    </w:pPr>
  </w:style>
  <w:style w:type="paragraph" w:styleId="BalloonText">
    <w:name w:val="Balloon Text"/>
    <w:basedOn w:val="Normal"/>
    <w:link w:val="BalloonTextChar"/>
    <w:rsid w:val="0037426F"/>
    <w:rPr>
      <w:rFonts w:ascii="Tahoma" w:hAnsi="Tahoma" w:cs="Tahoma"/>
      <w:sz w:val="16"/>
      <w:szCs w:val="16"/>
    </w:rPr>
  </w:style>
  <w:style w:type="character" w:customStyle="1" w:styleId="BalloonTextChar">
    <w:name w:val="Balloon Text Char"/>
    <w:link w:val="BalloonText"/>
    <w:rsid w:val="0037426F"/>
    <w:rPr>
      <w:rFonts w:ascii="Tahoma" w:hAnsi="Tahoma" w:cs="Tahoma"/>
      <w:sz w:val="16"/>
      <w:szCs w:val="16"/>
    </w:rPr>
  </w:style>
  <w:style w:type="paragraph" w:styleId="NormalWeb">
    <w:name w:val="Normal (Web)"/>
    <w:basedOn w:val="Normal"/>
    <w:uiPriority w:val="99"/>
    <w:unhideWhenUsed/>
    <w:rsid w:val="00BD38FC"/>
    <w:pPr>
      <w:spacing w:before="100" w:beforeAutospacing="1" w:after="100" w:afterAutospacing="1"/>
    </w:pPr>
  </w:style>
  <w:style w:type="character" w:styleId="Strong">
    <w:name w:val="Strong"/>
    <w:basedOn w:val="DefaultParagraphFont"/>
    <w:uiPriority w:val="22"/>
    <w:qFormat/>
    <w:rsid w:val="00BD38FC"/>
    <w:rPr>
      <w:b/>
      <w:bCs/>
    </w:rPr>
  </w:style>
  <w:style w:type="character" w:customStyle="1" w:styleId="Heading1Char">
    <w:name w:val="Heading 1 Char"/>
    <w:basedOn w:val="DefaultParagraphFont"/>
    <w:link w:val="Heading1"/>
    <w:uiPriority w:val="1"/>
    <w:rsid w:val="00E62DF5"/>
    <w:rPr>
      <w:rFonts w:cstheme="minorBidi"/>
      <w:b/>
      <w:bCs/>
      <w:sz w:val="24"/>
      <w:szCs w:val="24"/>
    </w:rPr>
  </w:style>
  <w:style w:type="paragraph" w:styleId="BodyText">
    <w:name w:val="Body Text"/>
    <w:basedOn w:val="Normal"/>
    <w:link w:val="BodyTextChar"/>
    <w:uiPriority w:val="1"/>
    <w:qFormat/>
    <w:rsid w:val="00E62DF5"/>
    <w:pPr>
      <w:widowControl w:val="0"/>
      <w:ind w:left="1540" w:hanging="360"/>
    </w:pPr>
    <w:rPr>
      <w:rFonts w:cstheme="minorBidi"/>
    </w:rPr>
  </w:style>
  <w:style w:type="character" w:customStyle="1" w:styleId="BodyTextChar">
    <w:name w:val="Body Text Char"/>
    <w:basedOn w:val="DefaultParagraphFont"/>
    <w:link w:val="BodyText"/>
    <w:uiPriority w:val="1"/>
    <w:rsid w:val="00E62DF5"/>
    <w:rPr>
      <w:rFonts w:cstheme="minorBidi"/>
      <w:sz w:val="24"/>
      <w:szCs w:val="24"/>
    </w:rPr>
  </w:style>
  <w:style w:type="table" w:styleId="TableGrid">
    <w:name w:val="Table Grid"/>
    <w:basedOn w:val="TableNormal"/>
    <w:uiPriority w:val="39"/>
    <w:rsid w:val="0089474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6098">
      <w:bodyDiv w:val="1"/>
      <w:marLeft w:val="0"/>
      <w:marRight w:val="0"/>
      <w:marTop w:val="0"/>
      <w:marBottom w:val="0"/>
      <w:divBdr>
        <w:top w:val="none" w:sz="0" w:space="0" w:color="auto"/>
        <w:left w:val="none" w:sz="0" w:space="0" w:color="auto"/>
        <w:bottom w:val="none" w:sz="0" w:space="0" w:color="auto"/>
        <w:right w:val="none" w:sz="0" w:space="0" w:color="auto"/>
      </w:divBdr>
    </w:div>
    <w:div w:id="664624390">
      <w:bodyDiv w:val="1"/>
      <w:marLeft w:val="0"/>
      <w:marRight w:val="0"/>
      <w:marTop w:val="0"/>
      <w:marBottom w:val="0"/>
      <w:divBdr>
        <w:top w:val="none" w:sz="0" w:space="0" w:color="auto"/>
        <w:left w:val="none" w:sz="0" w:space="0" w:color="auto"/>
        <w:bottom w:val="none" w:sz="0" w:space="0" w:color="auto"/>
        <w:right w:val="none" w:sz="0" w:space="0" w:color="auto"/>
      </w:divBdr>
    </w:div>
    <w:div w:id="1061101200">
      <w:bodyDiv w:val="1"/>
      <w:marLeft w:val="0"/>
      <w:marRight w:val="0"/>
      <w:marTop w:val="0"/>
      <w:marBottom w:val="0"/>
      <w:divBdr>
        <w:top w:val="none" w:sz="0" w:space="0" w:color="auto"/>
        <w:left w:val="none" w:sz="0" w:space="0" w:color="auto"/>
        <w:bottom w:val="none" w:sz="0" w:space="0" w:color="auto"/>
        <w:right w:val="none" w:sz="0" w:space="0" w:color="auto"/>
      </w:divBdr>
    </w:div>
    <w:div w:id="1908417992">
      <w:bodyDiv w:val="1"/>
      <w:marLeft w:val="0"/>
      <w:marRight w:val="0"/>
      <w:marTop w:val="0"/>
      <w:marBottom w:val="0"/>
      <w:divBdr>
        <w:top w:val="none" w:sz="0" w:space="0" w:color="auto"/>
        <w:left w:val="none" w:sz="0" w:space="0" w:color="auto"/>
        <w:bottom w:val="none" w:sz="0" w:space="0" w:color="auto"/>
        <w:right w:val="none" w:sz="0" w:space="0" w:color="auto"/>
      </w:divBdr>
    </w:div>
    <w:div w:id="20493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ancialaid.umd.edu/resources-policies/cost-atten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51629-444E-5849-B182-E7FA5332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1368</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vt:lpstr>
    </vt:vector>
  </TitlesOfParts>
  <Company>University of Maryland</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Niambi Wilder Winter</dc:creator>
  <cp:keywords/>
  <cp:lastModifiedBy> </cp:lastModifiedBy>
  <cp:revision>4</cp:revision>
  <cp:lastPrinted>2020-01-28T12:00:00Z</cp:lastPrinted>
  <dcterms:created xsi:type="dcterms:W3CDTF">2020-01-28T00:00:00Z</dcterms:created>
  <dcterms:modified xsi:type="dcterms:W3CDTF">2020-01-28T12:02:00Z</dcterms:modified>
</cp:coreProperties>
</file>